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kern w:val="0"/>
          <w:sz w:val="52"/>
          <w:szCs w:val="52"/>
          <w:lang w:val="en-US" w:eastAsia="zh-CN" w:bidi="ar"/>
        </w:rPr>
      </w:pPr>
      <w:r>
        <w:rPr>
          <w:rFonts w:hint="eastAsia" w:ascii="黑体" w:hAnsi="黑体" w:eastAsia="黑体" w:cs="黑体"/>
          <w:kern w:val="0"/>
          <w:sz w:val="52"/>
          <w:szCs w:val="52"/>
          <w:lang w:val="en-US" w:eastAsia="zh-CN" w:bidi="ar"/>
        </w:rPr>
        <w:t>柞水县科学技术协会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kern w:val="0"/>
          <w:sz w:val="72"/>
          <w:szCs w:val="72"/>
          <w:lang w:val="en-US" w:eastAsia="zh-CN" w:bidi="ar"/>
        </w:rPr>
      </w:pPr>
      <w:r>
        <w:rPr>
          <w:rFonts w:hint="eastAsia" w:ascii="黑体" w:hAnsi="黑体" w:eastAsia="黑体" w:cs="黑体"/>
          <w:kern w:val="0"/>
          <w:sz w:val="52"/>
          <w:szCs w:val="52"/>
          <w:lang w:val="en-US" w:eastAsia="zh-CN" w:bidi="ar"/>
        </w:rPr>
        <w:t>2020年部门决算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kern w:val="0"/>
          <w:sz w:val="72"/>
          <w:szCs w:val="7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kern w:val="0"/>
          <w:sz w:val="72"/>
          <w:szCs w:val="7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2400" w:firstLineChars="800"/>
        <w:jc w:val="both"/>
        <w:textAlignment w:val="auto"/>
        <w:outlineLvl w:val="9"/>
        <w:rPr>
          <w:rFonts w:hint="eastAsia" w:ascii="宋体" w:hAnsi="宋体" w:eastAsia="宋体" w:cs="宋体"/>
          <w:sz w:val="30"/>
          <w:szCs w:val="30"/>
        </w:rPr>
      </w:pPr>
      <w:r>
        <w:rPr>
          <w:rFonts w:hint="eastAsia" w:ascii="宋体" w:hAnsi="宋体" w:eastAsia="宋体" w:cs="宋体"/>
          <w:sz w:val="30"/>
          <w:szCs w:val="30"/>
        </w:rPr>
        <w:t>保密审查情况：已审查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2400" w:firstLineChars="800"/>
        <w:jc w:val="both"/>
        <w:textAlignment w:val="auto"/>
        <w:outlineLvl w:val="9"/>
        <w:rPr>
          <w:rFonts w:hint="eastAsia" w:ascii="仿宋_GB2312" w:hAnsi="仿宋_GB2312" w:eastAsia="仿宋_GB2312" w:cs="仿宋_GB2312"/>
          <w:kern w:val="0"/>
          <w:sz w:val="30"/>
          <w:szCs w:val="30"/>
          <w:lang w:val="en-US" w:eastAsia="zh-CN" w:bidi="ar"/>
        </w:rPr>
      </w:pPr>
      <w:r>
        <w:rPr>
          <w:rFonts w:hint="eastAsia" w:ascii="宋体" w:hAnsi="宋体" w:eastAsia="宋体" w:cs="宋体"/>
          <w:sz w:val="30"/>
          <w:szCs w:val="30"/>
        </w:rPr>
        <w:t>部门主要负责人审签情况：已审签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目  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第一部分 部门概况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一、部门主要职责及内设机构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二、部门决算单位构成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三、部门人员情况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第二部分  2020年部门决算表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一、收入支出决算总表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二、收入决算总表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三、支出决算总表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四、财政拨款收入支出决算总表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五、一般公共预算财政拨款支出决算表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六、一般公共预算财政拨款基本支出决算表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七、一般公共预算财政拨款“三公”经费及会议费、培训费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支出决算表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八、政府性基金预算财政拨款收入支出决算表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九、国有资本经营预算财政拨款支出决算表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880" w:firstLineChars="200"/>
        <w:jc w:val="both"/>
        <w:textAlignment w:val="auto"/>
        <w:outlineLvl w:val="9"/>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第三部分  2020年部门决算情况说明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一、收入支出决算总体情况说明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二、2020年度财政拨款收入支出总体情况说明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三、2020年度“三公”经费、培训费及会议费支出情</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四、2020年度部门绩效管理情况说明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五、其他重要事项的情况说明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第四部分  专业名词解释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outlineLvl w:val="9"/>
        <w:rPr>
          <w:rFonts w:hint="eastAsia" w:ascii="方正小标宋简体" w:hAnsi="方正小标宋简体" w:eastAsia="方正小标宋简体" w:cs="方正小标宋简体"/>
          <w:kern w:val="0"/>
          <w:sz w:val="32"/>
          <w:szCs w:val="32"/>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第一部分 部门概况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一、部门主要职责及内设机构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（一）主要职责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jc w:val="left"/>
        <w:textAlignment w:val="auto"/>
        <w:rPr>
          <w:rFonts w:hint="eastAsia" w:ascii="宋体" w:hAnsi="宋体" w:eastAsia="宋体" w:cs="宋体"/>
          <w:i w:val="0"/>
          <w:iCs w:val="0"/>
          <w:caps w:val="0"/>
          <w:color w:val="000000"/>
          <w:spacing w:val="0"/>
          <w:sz w:val="18"/>
          <w:szCs w:val="18"/>
        </w:rPr>
      </w:pPr>
      <w:r>
        <w:rPr>
          <w:rFonts w:ascii="仿宋_GB2312" w:hAnsi="宋体" w:eastAsia="仿宋_GB2312" w:cs="仿宋_GB2312"/>
          <w:i w:val="0"/>
          <w:iCs w:val="0"/>
          <w:caps w:val="0"/>
          <w:color w:val="000000"/>
          <w:spacing w:val="0"/>
          <w:kern w:val="0"/>
          <w:sz w:val="32"/>
          <w:szCs w:val="32"/>
          <w:shd w:val="clear" w:fill="FFFFFF"/>
          <w:lang w:val="en-US" w:eastAsia="zh-CN" w:bidi="ar"/>
        </w:rPr>
        <w:t>1</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.推动科教兴柞、人才强县和科技带动战略的实施，促进科技进步、经济发展和社会繁荣。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2.制定科普工作规划，开展科学技术普及工作；指导科普设施和科普阵地、场所的建设和管理；负责科普工作者队伍的培训。</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3.弘扬科学精神、普及科学知识、传播科学思想、推广科学方法。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4.开展学术交流和学术研讨活动，活跃学术思想，促进学科发展，推动自主创新。承接与科技相关的科技评价、人才评价、科技评选奖励等职能。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5.举荐、宣传、表彰奖励优秀科技工作者、自然科学优秀学术论文及学术成果，发挥学术团体举荐科技人才的作用。组织科技工作者开展面向社会的继续教育工作。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spacing w:val="0"/>
          <w:kern w:val="0"/>
          <w:sz w:val="32"/>
          <w:szCs w:val="32"/>
          <w:lang w:val="en-US" w:eastAsia="zh-CN" w:bidi="ar"/>
        </w:rPr>
      </w:pPr>
      <w:r>
        <w:rPr>
          <w:rFonts w:hint="eastAsia" w:ascii="仿宋_GB2312" w:hAnsi="仿宋_GB2312" w:eastAsia="仿宋_GB2312" w:cs="仿宋_GB2312"/>
          <w:b/>
          <w:bCs/>
          <w:spacing w:val="0"/>
          <w:kern w:val="0"/>
          <w:sz w:val="32"/>
          <w:szCs w:val="32"/>
          <w:lang w:val="en-US" w:eastAsia="zh-CN" w:bidi="ar"/>
        </w:rPr>
        <w:t>（二）内设机构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hAnsi="宋体" w:eastAsia="仿宋_GB2312" w:cs="仿宋_GB2312"/>
          <w:i w:val="0"/>
          <w:iCs w:val="0"/>
          <w:caps w:val="0"/>
          <w:color w:val="000000"/>
          <w:spacing w:val="32"/>
          <w:sz w:val="32"/>
          <w:szCs w:val="32"/>
          <w:shd w:val="clear" w:fill="FFFFFF"/>
        </w:rPr>
      </w:pPr>
      <w:r>
        <w:rPr>
          <w:rFonts w:ascii="仿宋_GB2312" w:hAnsi="宋体" w:eastAsia="仿宋_GB2312" w:cs="仿宋_GB2312"/>
          <w:i w:val="0"/>
          <w:iCs w:val="0"/>
          <w:caps w:val="0"/>
          <w:color w:val="000000"/>
          <w:spacing w:val="0"/>
          <w:sz w:val="32"/>
          <w:szCs w:val="32"/>
          <w:shd w:val="clear" w:fill="FFFFFF"/>
        </w:rPr>
        <w:t>本部门设三个机构：办公室主要负责单位正常办公事务；科普宣传股主要负责科学技术普及及科技三下乡活动安排；财务股主要负责单位正常财务活动。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ind w:firstLine="643" w:firstLineChars="200"/>
        <w:jc w:val="both"/>
        <w:textAlignment w:val="auto"/>
        <w:outlineLvl w:val="9"/>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二、部门决算单位构成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纳入本部门2020年部门决算编制范围的单位只包括本级。</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6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序号</w:t>
            </w:r>
          </w:p>
        </w:tc>
        <w:tc>
          <w:tcPr>
            <w:tcW w:w="6616"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1</w:t>
            </w:r>
          </w:p>
        </w:tc>
        <w:tc>
          <w:tcPr>
            <w:tcW w:w="6616"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柞水县科学技术协会</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三、部门人员情况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部门人员情况与2020年部门预算公开数衔接一致。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截至2020年底,本部门人员编制6人,其中行政编制6人;实有人员5人,其中行政4人、事业1人。</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outlineLvl w:val="9"/>
        <w:rPr>
          <w:rFonts w:hint="eastAsia" w:ascii="仿宋_GB2312" w:hAnsi="仿宋_GB2312" w:eastAsia="仿宋_GB2312" w:cs="仿宋_GB2312"/>
          <w:kern w:val="0"/>
          <w:sz w:val="32"/>
          <w:szCs w:val="32"/>
          <w:lang w:val="en-US" w:eastAsia="zh-CN" w:bidi="ar"/>
        </w:rPr>
      </w:pPr>
      <w:r>
        <w:drawing>
          <wp:inline distT="0" distB="0" distL="114300" distR="114300">
            <wp:extent cx="5044440" cy="2872105"/>
            <wp:effectExtent l="4445" t="4445" r="18415"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第二部分  2020年度部门决算表</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（2020年度部门决算表公开内容详见附件）</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xml:space="preserve">    第三部分  2020 年部门决算情况说明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一、收入支出决算总体情况说明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jc w:val="left"/>
        <w:textAlignment w:val="auto"/>
        <w:rPr>
          <w:rFonts w:hint="default" w:eastAsia="仿宋_GB2312"/>
          <w:spacing w:val="0"/>
          <w:sz w:val="32"/>
          <w:szCs w:val="32"/>
          <w:lang w:val="en-US" w:eastAsia="zh-CN"/>
        </w:rPr>
      </w:pPr>
      <w:r>
        <w:rPr>
          <w:rFonts w:hint="eastAsia" w:ascii="仿宋_GB2312" w:hAnsi="仿宋_GB2312" w:eastAsia="仿宋_GB2312" w:cs="仿宋_GB2312"/>
          <w:spacing w:val="0"/>
          <w:kern w:val="0"/>
          <w:sz w:val="32"/>
          <w:szCs w:val="32"/>
          <w:lang w:val="en-US" w:eastAsia="zh-CN" w:bidi="ar"/>
        </w:rPr>
        <w:t>1</w:t>
      </w:r>
      <w:r>
        <w:rPr>
          <w:rFonts w:ascii="仿宋_GB2312" w:hAnsi="宋体" w:eastAsia="仿宋_GB2312" w:cs="仿宋_GB2312"/>
          <w:i w:val="0"/>
          <w:iCs w:val="0"/>
          <w:caps w:val="0"/>
          <w:color w:val="000000"/>
          <w:spacing w:val="0"/>
          <w:kern w:val="0"/>
          <w:sz w:val="32"/>
          <w:szCs w:val="32"/>
          <w:shd w:val="clear" w:fill="FFFFFF"/>
          <w:lang w:val="en-US" w:eastAsia="zh-CN" w:bidi="ar"/>
        </w:rPr>
        <w:t>.</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本年度收入90.36万元，比上年减少4.44万元，主要原因</w:t>
      </w:r>
      <w:r>
        <w:rPr>
          <w:rFonts w:hint="eastAsia" w:ascii="仿宋_GB2312" w:hAnsi="宋体"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是本单位人员调出减少，所以收入相应减少</w:t>
      </w:r>
      <w:r>
        <w:rPr>
          <w:rFonts w:hint="eastAsia" w:ascii="仿宋_GB2312" w:hAnsi="宋体"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。本年度支出108.91万元，较上年减少8.77万元，主要原因是本单位人员正常调出以及科普经费上级拨入减少。</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_GB2312" w:hAnsi="仿宋_GB2312" w:eastAsia="仿宋_GB2312" w:cs="仿宋_GB2312"/>
          <w:spacing w:val="0"/>
          <w:kern w:val="0"/>
          <w:sz w:val="32"/>
          <w:szCs w:val="32"/>
          <w:lang w:val="en-US" w:eastAsia="zh-CN" w:bidi="ar"/>
        </w:rPr>
      </w:pP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2.本年度收入构成情况。</w:t>
      </w:r>
      <w:r>
        <w:rPr>
          <w:rFonts w:hint="default" w:ascii="仿宋_GB2312" w:hAnsi="仿宋_GB2312" w:eastAsia="仿宋_GB2312" w:cs="仿宋_GB2312"/>
          <w:spacing w:val="0"/>
          <w:kern w:val="0"/>
          <w:sz w:val="32"/>
          <w:szCs w:val="32"/>
          <w:lang w:val="en-US" w:eastAsia="zh-CN" w:bidi="ar"/>
        </w:rPr>
        <w:t>本年度一般公共预算财政拨款</w:t>
      </w:r>
      <w:r>
        <w:rPr>
          <w:rFonts w:hint="eastAsia" w:ascii="仿宋_GB2312" w:hAnsi="仿宋_GB2312" w:eastAsia="仿宋_GB2312" w:cs="仿宋_GB2312"/>
          <w:spacing w:val="0"/>
          <w:kern w:val="0"/>
          <w:sz w:val="32"/>
          <w:szCs w:val="32"/>
          <w:lang w:val="en-US" w:eastAsia="zh-CN" w:bidi="ar"/>
        </w:rPr>
        <w:t>87.36</w:t>
      </w:r>
      <w:r>
        <w:rPr>
          <w:rFonts w:hint="default" w:ascii="仿宋_GB2312" w:hAnsi="仿宋_GB2312" w:eastAsia="仿宋_GB2312" w:cs="仿宋_GB2312"/>
          <w:spacing w:val="0"/>
          <w:kern w:val="0"/>
          <w:sz w:val="32"/>
          <w:szCs w:val="32"/>
          <w:lang w:val="en-US" w:eastAsia="zh-CN" w:bidi="ar"/>
        </w:rPr>
        <w:t>万元，</w:t>
      </w:r>
      <w:r>
        <w:rPr>
          <w:rFonts w:hint="eastAsia" w:ascii="仿宋_GB2312" w:hAnsi="仿宋_GB2312" w:eastAsia="仿宋_GB2312" w:cs="仿宋_GB2312"/>
          <w:spacing w:val="0"/>
          <w:kern w:val="0"/>
          <w:sz w:val="32"/>
          <w:szCs w:val="32"/>
          <w:lang w:val="en-US" w:eastAsia="zh-CN" w:bidi="ar"/>
        </w:rPr>
        <w:t>较上年减少7.44万元，</w:t>
      </w:r>
      <w:r>
        <w:rPr>
          <w:rFonts w:hint="default" w:ascii="仿宋_GB2312" w:hAnsi="仿宋_GB2312" w:eastAsia="仿宋_GB2312" w:cs="仿宋_GB2312"/>
          <w:spacing w:val="0"/>
          <w:kern w:val="0"/>
          <w:sz w:val="32"/>
          <w:szCs w:val="32"/>
          <w:lang w:val="en-US" w:eastAsia="zh-CN" w:bidi="ar"/>
        </w:rPr>
        <w:t>占</w:t>
      </w:r>
      <w:r>
        <w:rPr>
          <w:rFonts w:hint="eastAsia" w:ascii="仿宋_GB2312" w:hAnsi="仿宋_GB2312" w:eastAsia="仿宋_GB2312" w:cs="仿宋_GB2312"/>
          <w:spacing w:val="0"/>
          <w:kern w:val="0"/>
          <w:sz w:val="32"/>
          <w:szCs w:val="32"/>
          <w:lang w:val="en-US" w:eastAsia="zh-CN" w:bidi="ar"/>
        </w:rPr>
        <w:t>当年</w:t>
      </w:r>
      <w:r>
        <w:rPr>
          <w:rFonts w:hint="default" w:ascii="仿宋_GB2312" w:hAnsi="仿宋_GB2312" w:eastAsia="仿宋_GB2312" w:cs="仿宋_GB2312"/>
          <w:spacing w:val="0"/>
          <w:kern w:val="0"/>
          <w:sz w:val="32"/>
          <w:szCs w:val="32"/>
          <w:lang w:val="en-US" w:eastAsia="zh-CN" w:bidi="ar"/>
        </w:rPr>
        <w:t>收入的</w:t>
      </w:r>
      <w:r>
        <w:rPr>
          <w:rFonts w:hint="eastAsia" w:ascii="仿宋_GB2312" w:hAnsi="仿宋_GB2312" w:eastAsia="仿宋_GB2312" w:cs="仿宋_GB2312"/>
          <w:spacing w:val="0"/>
          <w:kern w:val="0"/>
          <w:sz w:val="32"/>
          <w:szCs w:val="32"/>
          <w:lang w:val="en-US" w:eastAsia="zh-CN" w:bidi="ar"/>
        </w:rPr>
        <w:t>96.7</w:t>
      </w:r>
      <w:r>
        <w:rPr>
          <w:rFonts w:hint="default" w:ascii="仿宋_GB2312" w:hAnsi="仿宋_GB2312" w:eastAsia="仿宋_GB2312" w:cs="仿宋_GB2312"/>
          <w:spacing w:val="0"/>
          <w:kern w:val="0"/>
          <w:sz w:val="32"/>
          <w:szCs w:val="32"/>
          <w:lang w:val="en-US" w:eastAsia="zh-CN" w:bidi="ar"/>
        </w:rPr>
        <w:t>%</w:t>
      </w:r>
      <w:r>
        <w:rPr>
          <w:rFonts w:hint="eastAsia" w:ascii="仿宋_GB2312" w:hAnsi="仿宋_GB2312" w:eastAsia="仿宋_GB2312" w:cs="仿宋_GB2312"/>
          <w:spacing w:val="0"/>
          <w:kern w:val="0"/>
          <w:sz w:val="32"/>
          <w:szCs w:val="32"/>
          <w:lang w:val="en-US" w:eastAsia="zh-CN" w:bidi="ar"/>
        </w:rPr>
        <w:t>，减少的主要原因是本单位人员调出1人，所以工资及社保缴费相应的减少；</w:t>
      </w:r>
      <w:r>
        <w:rPr>
          <w:rFonts w:hint="default" w:ascii="仿宋_GB2312" w:hAnsi="仿宋_GB2312" w:eastAsia="仿宋_GB2312" w:cs="仿宋_GB2312"/>
          <w:spacing w:val="0"/>
          <w:kern w:val="0"/>
          <w:sz w:val="32"/>
          <w:szCs w:val="32"/>
          <w:lang w:val="en-US" w:eastAsia="zh-CN" w:bidi="ar"/>
        </w:rPr>
        <w:t>其他收入</w:t>
      </w:r>
      <w:r>
        <w:rPr>
          <w:rFonts w:hint="eastAsia" w:ascii="仿宋_GB2312" w:hAnsi="仿宋_GB2312" w:eastAsia="仿宋_GB2312" w:cs="仿宋_GB2312"/>
          <w:spacing w:val="0"/>
          <w:kern w:val="0"/>
          <w:sz w:val="32"/>
          <w:szCs w:val="32"/>
          <w:lang w:val="en-US" w:eastAsia="zh-CN" w:bidi="ar"/>
        </w:rPr>
        <w:t>3</w:t>
      </w:r>
      <w:r>
        <w:rPr>
          <w:rFonts w:hint="default" w:ascii="仿宋_GB2312" w:hAnsi="仿宋_GB2312" w:eastAsia="仿宋_GB2312" w:cs="仿宋_GB2312"/>
          <w:spacing w:val="0"/>
          <w:kern w:val="0"/>
          <w:sz w:val="32"/>
          <w:szCs w:val="32"/>
          <w:lang w:val="en-US" w:eastAsia="zh-CN" w:bidi="ar"/>
        </w:rPr>
        <w:t>万元，比上年</w:t>
      </w:r>
      <w:r>
        <w:rPr>
          <w:rFonts w:hint="eastAsia" w:ascii="仿宋_GB2312" w:hAnsi="仿宋_GB2312" w:eastAsia="仿宋_GB2312" w:cs="仿宋_GB2312"/>
          <w:spacing w:val="0"/>
          <w:kern w:val="0"/>
          <w:sz w:val="32"/>
          <w:szCs w:val="32"/>
          <w:lang w:val="en-US" w:eastAsia="zh-CN" w:bidi="ar"/>
        </w:rPr>
        <w:t>增加3万元，</w:t>
      </w:r>
      <w:r>
        <w:rPr>
          <w:rFonts w:hint="default" w:ascii="仿宋_GB2312" w:hAnsi="仿宋_GB2312" w:eastAsia="仿宋_GB2312" w:cs="仿宋_GB2312"/>
          <w:spacing w:val="0"/>
          <w:kern w:val="0"/>
          <w:sz w:val="32"/>
          <w:szCs w:val="32"/>
          <w:lang w:val="en-US" w:eastAsia="zh-CN" w:bidi="ar"/>
        </w:rPr>
        <w:t>占</w:t>
      </w:r>
      <w:r>
        <w:rPr>
          <w:rFonts w:hint="eastAsia" w:ascii="仿宋_GB2312" w:hAnsi="仿宋_GB2312" w:eastAsia="仿宋_GB2312" w:cs="仿宋_GB2312"/>
          <w:spacing w:val="0"/>
          <w:kern w:val="0"/>
          <w:sz w:val="32"/>
          <w:szCs w:val="32"/>
          <w:lang w:val="en-US" w:eastAsia="zh-CN" w:bidi="ar"/>
        </w:rPr>
        <w:t>当年</w:t>
      </w:r>
      <w:r>
        <w:rPr>
          <w:rFonts w:hint="default" w:ascii="仿宋_GB2312" w:hAnsi="仿宋_GB2312" w:eastAsia="仿宋_GB2312" w:cs="仿宋_GB2312"/>
          <w:spacing w:val="0"/>
          <w:kern w:val="0"/>
          <w:sz w:val="32"/>
          <w:szCs w:val="32"/>
          <w:lang w:val="en-US" w:eastAsia="zh-CN" w:bidi="ar"/>
        </w:rPr>
        <w:t>收入的</w:t>
      </w:r>
      <w:r>
        <w:rPr>
          <w:rFonts w:hint="eastAsia" w:ascii="仿宋_GB2312" w:hAnsi="仿宋_GB2312" w:eastAsia="仿宋_GB2312" w:cs="仿宋_GB2312"/>
          <w:spacing w:val="0"/>
          <w:kern w:val="0"/>
          <w:sz w:val="32"/>
          <w:szCs w:val="32"/>
          <w:lang w:val="en-US" w:eastAsia="zh-CN" w:bidi="ar"/>
        </w:rPr>
        <w:t>3.3</w:t>
      </w:r>
      <w:r>
        <w:rPr>
          <w:rFonts w:hint="default" w:ascii="仿宋_GB2312" w:hAnsi="仿宋_GB2312" w:eastAsia="仿宋_GB2312" w:cs="仿宋_GB2312"/>
          <w:spacing w:val="0"/>
          <w:kern w:val="0"/>
          <w:sz w:val="32"/>
          <w:szCs w:val="32"/>
          <w:lang w:val="en-US" w:eastAsia="zh-CN" w:bidi="ar"/>
        </w:rPr>
        <w:t>%</w:t>
      </w:r>
      <w:r>
        <w:rPr>
          <w:rFonts w:hint="eastAsia" w:ascii="仿宋_GB2312" w:hAnsi="仿宋_GB2312" w:eastAsia="仿宋_GB2312" w:cs="仿宋_GB2312"/>
          <w:spacing w:val="0"/>
          <w:kern w:val="0"/>
          <w:sz w:val="32"/>
          <w:szCs w:val="32"/>
          <w:lang w:val="en-US" w:eastAsia="zh-CN" w:bidi="ar"/>
        </w:rPr>
        <w:t>，增加的</w:t>
      </w:r>
      <w:r>
        <w:rPr>
          <w:rFonts w:hint="default" w:ascii="仿宋_GB2312" w:hAnsi="仿宋_GB2312" w:eastAsia="仿宋_GB2312" w:cs="仿宋_GB2312"/>
          <w:spacing w:val="0"/>
          <w:kern w:val="0"/>
          <w:sz w:val="32"/>
          <w:szCs w:val="32"/>
          <w:lang w:val="en-US" w:eastAsia="zh-CN" w:bidi="ar"/>
        </w:rPr>
        <w:t>主要原因是</w:t>
      </w:r>
      <w:r>
        <w:rPr>
          <w:rFonts w:hint="eastAsia" w:ascii="仿宋_GB2312" w:hAnsi="仿宋_GB2312" w:eastAsia="仿宋_GB2312" w:cs="仿宋_GB2312"/>
          <w:spacing w:val="0"/>
          <w:kern w:val="0"/>
          <w:sz w:val="32"/>
          <w:szCs w:val="32"/>
          <w:lang w:val="en-US" w:eastAsia="zh-CN" w:bidi="ar"/>
        </w:rPr>
        <w:t>本年市科协新增拨入科普经费补助。</w:t>
      </w:r>
    </w:p>
    <w:p>
      <w:pPr>
        <w:pStyle w:val="2"/>
        <w:jc w:val="center"/>
        <w:rPr>
          <w:rFonts w:hint="eastAsia" w:ascii="仿宋_GB2312" w:hAnsi="仿宋_GB2312" w:eastAsia="仿宋_GB2312" w:cs="仿宋_GB2312"/>
          <w:kern w:val="0"/>
          <w:sz w:val="32"/>
          <w:szCs w:val="32"/>
          <w:lang w:val="en-US" w:eastAsia="zh-CN" w:bidi="ar"/>
        </w:rPr>
      </w:pPr>
      <w:r>
        <w:drawing>
          <wp:inline distT="0" distB="0" distL="114300" distR="114300">
            <wp:extent cx="5024120" cy="2764790"/>
            <wp:effectExtent l="5080" t="4445" r="19050"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Chars="0" w:firstLine="643" w:firstLineChars="200"/>
        <w:jc w:val="both"/>
        <w:textAlignment w:val="auto"/>
        <w:outlineLvl w:val="9"/>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spacing w:val="0"/>
          <w:kern w:val="0"/>
          <w:sz w:val="32"/>
          <w:szCs w:val="32"/>
          <w:lang w:val="en-US" w:eastAsia="zh-CN" w:bidi="ar"/>
        </w:rPr>
        <w:t>3.本年度支出构成情况。</w:t>
      </w:r>
      <w:r>
        <w:rPr>
          <w:rFonts w:ascii="仿宋_GB2312" w:hAnsi="宋体" w:eastAsia="仿宋_GB2312" w:cs="仿宋_GB2312"/>
          <w:i w:val="0"/>
          <w:iCs w:val="0"/>
          <w:caps w:val="0"/>
          <w:color w:val="000000"/>
          <w:spacing w:val="0"/>
          <w:kern w:val="0"/>
          <w:sz w:val="32"/>
          <w:szCs w:val="32"/>
          <w:shd w:val="clear" w:fill="FFFFFF"/>
          <w:lang w:val="en-US" w:eastAsia="zh-CN" w:bidi="ar"/>
        </w:rPr>
        <w:t>20</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20年度支出合计108.91万元，其中：基本支出83.91万元，是为保障机构正常运转，完成日常工作任务而发生的各项支出，包括人员经费和公用经费，占总支出的77%，项目支出25万元，主要是开展科普活动、印制科普宣传资料，占总支出的23%。</w:t>
      </w:r>
    </w:p>
    <w:p>
      <w:pPr>
        <w:pStyle w:val="2"/>
        <w:rPr>
          <w:rFonts w:hint="eastAsia" w:ascii="仿宋_GB2312" w:hAnsi="宋体" w:eastAsia="仿宋_GB2312" w:cs="仿宋_GB2312"/>
          <w:i w:val="0"/>
          <w:iCs w:val="0"/>
          <w:caps w:val="0"/>
          <w:color w:val="000000"/>
          <w:spacing w:val="0"/>
          <w:kern w:val="0"/>
          <w:sz w:val="32"/>
          <w:szCs w:val="32"/>
          <w:shd w:val="clear" w:fill="FFFFFF"/>
          <w:lang w:val="en-US" w:eastAsia="zh-CN" w:bidi="ar"/>
        </w:rPr>
      </w:pPr>
    </w:p>
    <w:p>
      <w:pPr>
        <w:pStyle w:val="2"/>
        <w:rPr>
          <w:rFonts w:hint="eastAsia" w:ascii="仿宋_GB2312" w:hAnsi="仿宋_GB2312" w:eastAsia="仿宋_GB2312" w:cs="仿宋_GB2312"/>
          <w:b/>
          <w:bCs/>
          <w:kern w:val="0"/>
          <w:sz w:val="32"/>
          <w:szCs w:val="32"/>
          <w:lang w:val="en-US" w:eastAsia="zh-CN" w:bidi="ar"/>
        </w:rPr>
      </w:pPr>
      <w:r>
        <w:drawing>
          <wp:inline distT="0" distB="0" distL="114300" distR="114300">
            <wp:extent cx="4538980" cy="1892300"/>
            <wp:effectExtent l="4445" t="4445" r="9525" b="825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3" w:firstLineChars="200"/>
        <w:jc w:val="both"/>
        <w:textAlignment w:val="auto"/>
        <w:outlineLvl w:val="9"/>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二、2020年度财政拨款收入支出总体情况说明</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1.本年</w:t>
      </w:r>
      <w:r>
        <w:rPr>
          <w:rFonts w:hint="eastAsia" w:ascii="仿宋_GB2312" w:hAnsi="仿宋_GB2312" w:eastAsia="仿宋_GB2312" w:cs="仿宋_GB2312"/>
          <w:i w:val="0"/>
          <w:iCs w:val="0"/>
          <w:caps w:val="0"/>
          <w:color w:val="000000"/>
          <w:spacing w:val="0"/>
          <w:sz w:val="32"/>
          <w:szCs w:val="32"/>
          <w:shd w:val="clear" w:fill="FFFFFF"/>
        </w:rPr>
        <w:t>财政拨款收入</w:t>
      </w:r>
      <w:r>
        <w:rPr>
          <w:rFonts w:hint="eastAsia" w:ascii="仿宋_GB2312" w:hAnsi="仿宋_GB2312" w:eastAsia="仿宋_GB2312" w:cs="仿宋_GB2312"/>
          <w:i w:val="0"/>
          <w:iCs w:val="0"/>
          <w:caps w:val="0"/>
          <w:color w:val="000000"/>
          <w:spacing w:val="0"/>
          <w:sz w:val="32"/>
          <w:szCs w:val="32"/>
          <w:shd w:val="clear" w:fill="FFFFFF"/>
          <w:lang w:val="en-US" w:eastAsia="zh-CN"/>
        </w:rPr>
        <w:t>87.36</w:t>
      </w:r>
      <w:r>
        <w:rPr>
          <w:rFonts w:hint="eastAsia" w:ascii="仿宋_GB2312" w:hAnsi="仿宋_GB2312" w:eastAsia="仿宋_GB2312" w:cs="仿宋_GB2312"/>
          <w:i w:val="0"/>
          <w:iCs w:val="0"/>
          <w:caps w:val="0"/>
          <w:color w:val="000000"/>
          <w:spacing w:val="0"/>
          <w:sz w:val="32"/>
          <w:szCs w:val="32"/>
          <w:shd w:val="clear" w:fill="FFFFFF"/>
        </w:rPr>
        <w:t>万元，比上年减少</w:t>
      </w:r>
      <w:r>
        <w:rPr>
          <w:rFonts w:hint="eastAsia" w:ascii="仿宋_GB2312" w:hAnsi="仿宋_GB2312" w:eastAsia="仿宋_GB2312" w:cs="仿宋_GB2312"/>
          <w:i w:val="0"/>
          <w:iCs w:val="0"/>
          <w:caps w:val="0"/>
          <w:color w:val="000000"/>
          <w:spacing w:val="0"/>
          <w:sz w:val="32"/>
          <w:szCs w:val="32"/>
          <w:shd w:val="clear" w:fill="FFFFFF"/>
          <w:lang w:val="en-US" w:eastAsia="zh-CN"/>
        </w:rPr>
        <w:t>7.44</w:t>
      </w:r>
      <w:r>
        <w:rPr>
          <w:rFonts w:hint="eastAsia" w:ascii="仿宋_GB2312" w:hAnsi="仿宋_GB2312" w:eastAsia="仿宋_GB2312" w:cs="仿宋_GB2312"/>
          <w:i w:val="0"/>
          <w:iCs w:val="0"/>
          <w:caps w:val="0"/>
          <w:color w:val="000000"/>
          <w:spacing w:val="0"/>
          <w:sz w:val="32"/>
          <w:szCs w:val="32"/>
          <w:shd w:val="clear" w:fill="FFFFFF"/>
        </w:rPr>
        <w:t>万元，主要原因是当年减少1人，同时核减经费；20</w:t>
      </w:r>
      <w:r>
        <w:rPr>
          <w:rFonts w:hint="eastAsia" w:ascii="仿宋_GB2312" w:hAnsi="仿宋_GB2312" w:eastAsia="仿宋_GB2312" w:cs="仿宋_GB2312"/>
          <w:i w:val="0"/>
          <w:iCs w:val="0"/>
          <w:caps w:val="0"/>
          <w:color w:val="000000"/>
          <w:spacing w:val="0"/>
          <w:sz w:val="32"/>
          <w:szCs w:val="32"/>
          <w:shd w:val="clear" w:fill="FFFFFF"/>
          <w:lang w:val="en-US" w:eastAsia="zh-CN"/>
        </w:rPr>
        <w:t>20</w:t>
      </w:r>
      <w:r>
        <w:rPr>
          <w:rFonts w:hint="eastAsia" w:ascii="仿宋_GB2312" w:hAnsi="仿宋_GB2312" w:eastAsia="仿宋_GB2312" w:cs="仿宋_GB2312"/>
          <w:i w:val="0"/>
          <w:iCs w:val="0"/>
          <w:caps w:val="0"/>
          <w:color w:val="000000"/>
          <w:spacing w:val="0"/>
          <w:sz w:val="32"/>
          <w:szCs w:val="32"/>
          <w:shd w:val="clear" w:fill="FFFFFF"/>
        </w:rPr>
        <w:t>年财政拨款支出</w:t>
      </w:r>
      <w:r>
        <w:rPr>
          <w:rFonts w:hint="eastAsia" w:ascii="仿宋_GB2312" w:hAnsi="仿宋_GB2312" w:eastAsia="仿宋_GB2312" w:cs="仿宋_GB2312"/>
          <w:i w:val="0"/>
          <w:iCs w:val="0"/>
          <w:caps w:val="0"/>
          <w:color w:val="000000"/>
          <w:spacing w:val="0"/>
          <w:sz w:val="32"/>
          <w:szCs w:val="32"/>
          <w:shd w:val="clear" w:fill="FFFFFF"/>
          <w:lang w:val="en-US" w:eastAsia="zh-CN"/>
        </w:rPr>
        <w:t>103.78</w:t>
      </w:r>
      <w:r>
        <w:rPr>
          <w:rFonts w:hint="eastAsia" w:ascii="仿宋_GB2312" w:hAnsi="仿宋_GB2312" w:eastAsia="仿宋_GB2312" w:cs="仿宋_GB2312"/>
          <w:i w:val="0"/>
          <w:iCs w:val="0"/>
          <w:caps w:val="0"/>
          <w:color w:val="000000"/>
          <w:spacing w:val="0"/>
          <w:sz w:val="32"/>
          <w:szCs w:val="32"/>
          <w:shd w:val="clear" w:fill="FFFFFF"/>
        </w:rPr>
        <w:t>万元，比上年</w:t>
      </w:r>
      <w:r>
        <w:rPr>
          <w:rFonts w:hint="eastAsia" w:ascii="仿宋_GB2312" w:hAnsi="仿宋_GB2312" w:eastAsia="仿宋_GB2312" w:cs="仿宋_GB2312"/>
          <w:i w:val="0"/>
          <w:iCs w:val="0"/>
          <w:caps w:val="0"/>
          <w:color w:val="000000"/>
          <w:spacing w:val="0"/>
          <w:sz w:val="32"/>
          <w:szCs w:val="32"/>
          <w:shd w:val="clear" w:fill="FFFFFF"/>
          <w:lang w:val="en-US" w:eastAsia="zh-CN"/>
        </w:rPr>
        <w:t>减少13.9</w:t>
      </w:r>
      <w:r>
        <w:rPr>
          <w:rFonts w:hint="eastAsia" w:ascii="仿宋_GB2312" w:hAnsi="仿宋_GB2312" w:eastAsia="仿宋_GB2312" w:cs="仿宋_GB2312"/>
          <w:i w:val="0"/>
          <w:iCs w:val="0"/>
          <w:caps w:val="0"/>
          <w:color w:val="000000"/>
          <w:spacing w:val="0"/>
          <w:sz w:val="32"/>
          <w:szCs w:val="32"/>
          <w:shd w:val="clear" w:fill="FFFFFF"/>
        </w:rPr>
        <w:t>万元，主要原因是本年当年减少1人</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同时核减经费</w:t>
      </w:r>
      <w:r>
        <w:rPr>
          <w:rFonts w:hint="eastAsia" w:ascii="仿宋_GB2312" w:hAnsi="仿宋_GB2312" w:eastAsia="仿宋_GB2312" w:cs="仿宋_GB2312"/>
          <w:i w:val="0"/>
          <w:iCs w:val="0"/>
          <w:caps w:val="0"/>
          <w:color w:val="000000"/>
          <w:spacing w:val="0"/>
          <w:sz w:val="32"/>
          <w:szCs w:val="32"/>
          <w:shd w:val="clear" w:fill="FFFFFF"/>
          <w:lang w:eastAsia="zh-CN"/>
        </w:rPr>
        <w:t>并且上年使用了以前年度财政结余资金</w:t>
      </w:r>
      <w:r>
        <w:rPr>
          <w:rFonts w:hint="eastAsia" w:ascii="仿宋_GB2312" w:hAnsi="仿宋_GB2312" w:eastAsia="仿宋_GB2312" w:cs="仿宋_GB2312"/>
          <w:i w:val="0"/>
          <w:iCs w:val="0"/>
          <w:caps w:val="0"/>
          <w:color w:val="000000"/>
          <w:spacing w:val="0"/>
          <w:sz w:val="32"/>
          <w:szCs w:val="32"/>
          <w:shd w:val="clear" w:fill="FFFFFF"/>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rightChars="0" w:firstLine="643" w:firstLineChars="200"/>
        <w:jc w:val="left"/>
        <w:textAlignment w:val="auto"/>
        <w:rPr>
          <w:rFonts w:hint="eastAsia" w:ascii="仿宋_GB2312" w:hAnsi="仿宋_GB2312" w:eastAsia="仿宋_GB2312" w:cs="仿宋_GB2312"/>
          <w:spacing w:val="0"/>
          <w:kern w:val="0"/>
          <w:sz w:val="32"/>
          <w:szCs w:val="32"/>
          <w:lang w:val="en-US" w:eastAsia="zh-CN" w:bidi="ar"/>
        </w:rPr>
      </w:pPr>
      <w:r>
        <w:rPr>
          <w:rFonts w:hint="eastAsia" w:ascii="仿宋_GB2312" w:hAnsi="仿宋_GB2312" w:eastAsia="仿宋_GB2312" w:cs="仿宋_GB2312"/>
          <w:b/>
          <w:bCs/>
          <w:spacing w:val="0"/>
          <w:kern w:val="0"/>
          <w:sz w:val="32"/>
          <w:szCs w:val="32"/>
          <w:lang w:val="en-US" w:eastAsia="zh-CN"/>
        </w:rPr>
        <w:t>2.</w:t>
      </w:r>
      <w:r>
        <w:rPr>
          <w:rFonts w:hint="eastAsia" w:ascii="仿宋_GB2312" w:hAnsi="仿宋_GB2312" w:eastAsia="仿宋_GB2312" w:cs="仿宋_GB2312"/>
          <w:b/>
          <w:bCs/>
          <w:spacing w:val="0"/>
          <w:kern w:val="0"/>
          <w:sz w:val="32"/>
          <w:szCs w:val="32"/>
        </w:rPr>
        <w:t>一般公共预算财政拨款支出</w:t>
      </w:r>
      <w:r>
        <w:rPr>
          <w:rFonts w:hint="eastAsia" w:ascii="仿宋_GB2312" w:hAnsi="仿宋_GB2312" w:eastAsia="仿宋_GB2312" w:cs="仿宋_GB2312"/>
          <w:b/>
          <w:bCs/>
          <w:spacing w:val="0"/>
          <w:kern w:val="0"/>
          <w:sz w:val="32"/>
          <w:szCs w:val="32"/>
          <w:lang w:eastAsia="zh-CN"/>
        </w:rPr>
        <w:t>情况。</w:t>
      </w:r>
      <w:r>
        <w:rPr>
          <w:rFonts w:hint="eastAsia" w:ascii="仿宋_GB2312" w:hAnsi="仿宋_GB2312" w:eastAsia="仿宋_GB2312" w:cs="仿宋_GB2312"/>
          <w:spacing w:val="0"/>
          <w:kern w:val="0"/>
          <w:sz w:val="32"/>
          <w:szCs w:val="32"/>
          <w:lang w:val="en-US" w:eastAsia="zh-CN"/>
        </w:rPr>
        <w:t>2020年度一般公共预算财政拨款支出103.78万元，</w:t>
      </w:r>
      <w:r>
        <w:rPr>
          <w:rFonts w:hint="eastAsia" w:ascii="仿宋_GB2312" w:hAnsi="仿宋_GB2312" w:eastAsia="仿宋_GB2312" w:cs="仿宋_GB2312"/>
          <w:spacing w:val="0"/>
          <w:kern w:val="0"/>
          <w:sz w:val="32"/>
          <w:szCs w:val="32"/>
          <w:lang w:val="en-US" w:eastAsia="zh-CN" w:bidi="ar"/>
        </w:rPr>
        <w:t>按支出功能科目分，包括:</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320" w:firstLineChars="100"/>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（2060701）科学技术支出(类）科学技术普及</w:t>
      </w:r>
      <w:r>
        <w:rPr>
          <w:rFonts w:hint="eastAsia" w:ascii="仿宋_GB2312" w:hAnsi="仿宋_GB2312" w:eastAsia="仿宋_GB2312" w:cs="仿宋_GB2312"/>
          <w:i w:val="0"/>
          <w:iCs w:val="0"/>
          <w:caps w:val="0"/>
          <w:color w:val="000000"/>
          <w:spacing w:val="0"/>
          <w:sz w:val="32"/>
          <w:szCs w:val="32"/>
          <w:shd w:val="clear" w:fill="FFFFFF"/>
          <w:lang w:val="en-US" w:eastAsia="zh-CN"/>
        </w:rPr>
        <w:t>（款）机构运行（项）59.8万元；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320" w:firstLineChars="100"/>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（2060702）科学技术支出(类）科学技术普及（款）科普活动（项）22万元；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320" w:firstLineChars="100"/>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（2060799）科学技术支出(类）科学技术普及（款）其他科学技术支出（项）9.39万元；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320" w:firstLineChars="100"/>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（2080505）社会保障和就业支出（类）行政事业单位离退休（款）机关事业单位离退休基本养老保险缴费支出（项）5.71万元；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320" w:firstLineChars="100"/>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（2089901）社会保障和就业支出（类）其他社会保障和就业支出（款）其他社会保障和就业支出（项）0.19万元；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320" w:firstLineChars="100"/>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(2101101)卫生健康支出（类）行政事业单位医疗（款）事业单位医疗2.53万元；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320" w:firstLineChars="100"/>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(2210201)住房保障支出（类）行政事业单位住房改革（款）住房公积金4.16万元。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b/>
          <w:bCs/>
          <w:spacing w:val="0"/>
          <w:kern w:val="0"/>
          <w:sz w:val="32"/>
          <w:szCs w:val="32"/>
        </w:rPr>
        <w:t>3.一般公共预算财政拨款基本支出</w:t>
      </w:r>
      <w:r>
        <w:rPr>
          <w:rFonts w:hint="eastAsia" w:ascii="仿宋_GB2312" w:hAnsi="仿宋_GB2312" w:eastAsia="仿宋_GB2312" w:cs="仿宋_GB2312"/>
          <w:b/>
          <w:bCs/>
          <w:spacing w:val="0"/>
          <w:kern w:val="0"/>
          <w:sz w:val="32"/>
          <w:szCs w:val="32"/>
          <w:lang w:val="en-US" w:eastAsia="zh-CN"/>
        </w:rPr>
        <w:t>81.78</w:t>
      </w:r>
      <w:r>
        <w:rPr>
          <w:rFonts w:hint="eastAsia" w:ascii="仿宋_GB2312" w:hAnsi="仿宋_GB2312" w:eastAsia="仿宋_GB2312" w:cs="仿宋_GB2312"/>
          <w:b/>
          <w:bCs/>
          <w:spacing w:val="0"/>
          <w:kern w:val="0"/>
          <w:sz w:val="32"/>
          <w:szCs w:val="32"/>
        </w:rPr>
        <w:t>万元。</w:t>
      </w:r>
      <w:r>
        <w:rPr>
          <w:rFonts w:hint="eastAsia" w:ascii="仿宋_GB2312" w:hAnsi="仿宋_GB2312" w:eastAsia="仿宋_GB2312" w:cs="仿宋_GB2312"/>
          <w:i w:val="0"/>
          <w:iCs w:val="0"/>
          <w:caps w:val="0"/>
          <w:color w:val="000000"/>
          <w:spacing w:val="0"/>
          <w:sz w:val="32"/>
          <w:szCs w:val="32"/>
          <w:shd w:val="clear" w:fill="FFFFFF"/>
        </w:rPr>
        <w:t>其中：人员经费</w:t>
      </w:r>
      <w:r>
        <w:rPr>
          <w:rFonts w:hint="eastAsia" w:ascii="仿宋_GB2312" w:hAnsi="仿宋_GB2312" w:eastAsia="仿宋_GB2312" w:cs="仿宋_GB2312"/>
          <w:i w:val="0"/>
          <w:iCs w:val="0"/>
          <w:caps w:val="0"/>
          <w:color w:val="000000"/>
          <w:spacing w:val="0"/>
          <w:sz w:val="32"/>
          <w:szCs w:val="32"/>
          <w:shd w:val="clear" w:fill="FFFFFF"/>
          <w:lang w:val="en-US" w:eastAsia="zh-CN"/>
        </w:rPr>
        <w:t>64.37</w:t>
      </w:r>
      <w:r>
        <w:rPr>
          <w:rFonts w:hint="eastAsia" w:ascii="仿宋_GB2312" w:hAnsi="仿宋_GB2312" w:eastAsia="仿宋_GB2312" w:cs="仿宋_GB2312"/>
          <w:i w:val="0"/>
          <w:iCs w:val="0"/>
          <w:caps w:val="0"/>
          <w:color w:val="000000"/>
          <w:spacing w:val="0"/>
          <w:sz w:val="32"/>
          <w:szCs w:val="32"/>
          <w:shd w:val="clear" w:fill="FFFFFF"/>
        </w:rPr>
        <w:t>万元，主要是人员基本工资、津补贴、交通补助等；公用经费</w:t>
      </w:r>
      <w:r>
        <w:rPr>
          <w:rFonts w:hint="eastAsia" w:ascii="仿宋_GB2312" w:hAnsi="仿宋_GB2312" w:eastAsia="仿宋_GB2312" w:cs="仿宋_GB2312"/>
          <w:i w:val="0"/>
          <w:iCs w:val="0"/>
          <w:caps w:val="0"/>
          <w:color w:val="000000"/>
          <w:spacing w:val="0"/>
          <w:sz w:val="32"/>
          <w:szCs w:val="32"/>
          <w:shd w:val="clear" w:fill="FFFFFF"/>
          <w:lang w:val="en-US" w:eastAsia="zh-CN"/>
        </w:rPr>
        <w:t>17.41</w:t>
      </w:r>
      <w:r>
        <w:rPr>
          <w:rFonts w:hint="eastAsia" w:ascii="仿宋_GB2312" w:hAnsi="仿宋_GB2312" w:eastAsia="仿宋_GB2312" w:cs="仿宋_GB2312"/>
          <w:i w:val="0"/>
          <w:iCs w:val="0"/>
          <w:caps w:val="0"/>
          <w:color w:val="000000"/>
          <w:spacing w:val="0"/>
          <w:sz w:val="32"/>
          <w:szCs w:val="32"/>
          <w:shd w:val="clear" w:fill="FFFFFF"/>
        </w:rPr>
        <w:t>万元，用于保障机构正常运转和日常工作需要</w:t>
      </w:r>
      <w:r>
        <w:rPr>
          <w:rFonts w:hint="eastAsia" w:ascii="仿宋_GB2312" w:hAnsi="仿宋_GB2312" w:eastAsia="仿宋_GB2312" w:cs="仿宋_GB2312"/>
          <w:i w:val="0"/>
          <w:iCs w:val="0"/>
          <w:caps w:val="0"/>
          <w:color w:val="000000"/>
          <w:spacing w:val="0"/>
          <w:sz w:val="32"/>
          <w:szCs w:val="32"/>
          <w:shd w:val="clear" w:fill="FFFFFF"/>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spacing w:val="0"/>
          <w:kern w:val="0"/>
          <w:sz w:val="32"/>
          <w:szCs w:val="32"/>
          <w:lang w:val="en-US" w:eastAsia="zh-CN" w:bidi="ar"/>
        </w:rPr>
      </w:pPr>
      <w:r>
        <w:rPr>
          <w:rFonts w:hint="eastAsia" w:ascii="仿宋_GB2312" w:hAnsi="仿宋_GB2312" w:eastAsia="仿宋_GB2312" w:cs="仿宋_GB2312"/>
          <w:b/>
          <w:bCs/>
          <w:spacing w:val="0"/>
          <w:kern w:val="0"/>
          <w:sz w:val="32"/>
          <w:szCs w:val="32"/>
          <w:lang w:val="en-US" w:eastAsia="zh-CN" w:bidi="ar"/>
        </w:rPr>
        <w:t>4.政府性基金财政拨款收支情况说明。</w:t>
      </w:r>
      <w:r>
        <w:rPr>
          <w:rFonts w:hint="eastAsia" w:ascii="仿宋_GB2312" w:hAnsi="仿宋_GB2312" w:eastAsia="仿宋_GB2312" w:cs="仿宋_GB2312"/>
          <w:spacing w:val="0"/>
          <w:kern w:val="0"/>
          <w:sz w:val="32"/>
          <w:szCs w:val="32"/>
          <w:lang w:val="en-US" w:eastAsia="zh-CN" w:bidi="ar"/>
        </w:rPr>
        <w:t>本部门无政府性基金决算收支,并已公开空表。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spacing w:val="0"/>
          <w:kern w:val="0"/>
          <w:sz w:val="32"/>
          <w:szCs w:val="32"/>
          <w:lang w:val="en-US" w:eastAsia="zh-CN" w:bidi="ar"/>
        </w:rPr>
      </w:pPr>
      <w:r>
        <w:rPr>
          <w:rFonts w:hint="eastAsia" w:ascii="仿宋_GB2312" w:hAnsi="仿宋_GB2312" w:eastAsia="仿宋_GB2312" w:cs="仿宋_GB2312"/>
          <w:b/>
          <w:bCs/>
          <w:spacing w:val="0"/>
          <w:kern w:val="0"/>
          <w:sz w:val="32"/>
          <w:szCs w:val="32"/>
          <w:lang w:val="en-US" w:eastAsia="zh-CN" w:bidi="ar"/>
        </w:rPr>
        <w:t>5.国有资本经营财政拨款收支情况说明。</w:t>
      </w:r>
      <w:r>
        <w:rPr>
          <w:rFonts w:hint="eastAsia" w:ascii="仿宋_GB2312" w:hAnsi="仿宋_GB2312" w:eastAsia="仿宋_GB2312" w:cs="仿宋_GB2312"/>
          <w:spacing w:val="0"/>
          <w:kern w:val="0"/>
          <w:sz w:val="32"/>
          <w:szCs w:val="32"/>
          <w:lang w:val="en-US" w:eastAsia="zh-CN" w:bidi="ar"/>
        </w:rPr>
        <w:t>本部门无国有资本经营决算拨款收支，并已公开空表。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19" w:firstLineChars="200"/>
        <w:jc w:val="both"/>
        <w:textAlignment w:val="auto"/>
        <w:outlineLvl w:val="9"/>
        <w:rPr>
          <w:rFonts w:hint="eastAsia" w:ascii="楷体_GB2312" w:hAnsi="楷体_GB2312" w:eastAsia="楷体_GB2312" w:cs="楷体_GB2312"/>
          <w:b/>
          <w:bCs/>
          <w:spacing w:val="-6"/>
          <w:kern w:val="0"/>
          <w:sz w:val="32"/>
          <w:szCs w:val="32"/>
          <w:lang w:val="en-US" w:eastAsia="zh-CN" w:bidi="ar"/>
        </w:rPr>
      </w:pPr>
      <w:r>
        <w:rPr>
          <w:rFonts w:hint="eastAsia" w:ascii="楷体_GB2312" w:hAnsi="楷体_GB2312" w:eastAsia="楷体_GB2312" w:cs="楷体_GB2312"/>
          <w:b/>
          <w:bCs/>
          <w:spacing w:val="-6"/>
          <w:kern w:val="0"/>
          <w:sz w:val="32"/>
          <w:szCs w:val="32"/>
          <w:lang w:val="en-US" w:eastAsia="zh-CN" w:bidi="ar"/>
        </w:rPr>
        <w:t>三、2020年度“三公”经费、培训费及会议费支出情况说明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1.“三公”经费财政拨款支出总体情况说明。</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2020年度一般公共预算财政拨款安排的“三公经费”支出0万元，其中：出国费0万元，公车运行维护费0万元，接待费0万元。2020年度“三公经费”实际支出0.35万元，比上年增加0.17万元，主要原因是本年科普活动接待人次增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（1）因公出国(境)支出情况。2019年因公出国(境)团组0个,0人次,支出0万元,当年预算数0万元，与上的无变化。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（2）公务用车购置及运行维护费用支出情况。2020年购置车辆0台,支出0万元。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（3）公务接待费支出情况。2020年公务接待6批次,70人次,当年预算数0万元，实际支出0.35万元，比上年增加0.17万元，主要是接待人次增加，年初预算数与上年减少0.5万元。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2.培训费支出情况。</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2020年培训费支出0万元，主要是本年没有安排培训任务。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3.会议费支出情况。</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2020年会议费支出0万元，比上年减少0.53万元，主要是本年未组织会议。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spacing w:val="0"/>
          <w:kern w:val="0"/>
          <w:sz w:val="32"/>
          <w:szCs w:val="32"/>
          <w:lang w:val="en-US" w:eastAsia="zh-CN" w:bidi="ar"/>
        </w:rPr>
      </w:pPr>
      <w:r>
        <w:rPr>
          <w:rFonts w:hint="eastAsia" w:ascii="楷体_GB2312" w:hAnsi="楷体_GB2312" w:eastAsia="楷体_GB2312" w:cs="楷体_GB2312"/>
          <w:b/>
          <w:bCs/>
          <w:spacing w:val="0"/>
          <w:kern w:val="0"/>
          <w:sz w:val="32"/>
          <w:szCs w:val="32"/>
          <w:lang w:val="en-US" w:eastAsia="zh-CN" w:bidi="ar"/>
        </w:rPr>
        <w:t>四、2020年度部门绩效管理情况说明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spacing w:val="0"/>
          <w:kern w:val="0"/>
          <w:sz w:val="32"/>
          <w:szCs w:val="32"/>
          <w:lang w:val="en-US" w:eastAsia="zh-CN" w:bidi="ar"/>
        </w:rPr>
      </w:pPr>
      <w:r>
        <w:rPr>
          <w:rFonts w:hint="eastAsia" w:ascii="仿宋_GB2312" w:hAnsi="仿宋_GB2312" w:eastAsia="仿宋_GB2312" w:cs="仿宋_GB2312"/>
          <w:b/>
          <w:bCs/>
          <w:spacing w:val="0"/>
          <w:kern w:val="0"/>
          <w:sz w:val="32"/>
          <w:szCs w:val="32"/>
          <w:lang w:val="en-US" w:eastAsia="zh-CN" w:bidi="ar"/>
        </w:rPr>
        <w:t>(一）预算绩效管理工作开展情况说明。</w:t>
      </w:r>
      <w:r>
        <w:rPr>
          <w:rFonts w:hint="eastAsia" w:ascii="仿宋_GB2312" w:hAnsi="仿宋_GB2312" w:eastAsia="仿宋_GB2312" w:cs="仿宋_GB2312"/>
          <w:spacing w:val="0"/>
          <w:kern w:val="0"/>
          <w:sz w:val="32"/>
          <w:szCs w:val="32"/>
          <w:lang w:val="en-US" w:eastAsia="zh-CN" w:bidi="ar"/>
        </w:rPr>
        <w:t>根据预算绩效管理要求,本部门组织对2020年度一般公共预算项目支出全面开展绩效自评,其中,一级项目1个,二级项目0个,共涉及资金25万元,占一般公共预算项目支出总额的100%。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spacing w:val="0"/>
          <w:kern w:val="0"/>
          <w:sz w:val="32"/>
          <w:szCs w:val="32"/>
          <w:lang w:val="en-US" w:eastAsia="zh-CN" w:bidi="ar"/>
        </w:rPr>
      </w:pPr>
      <w:r>
        <w:rPr>
          <w:rFonts w:hint="eastAsia" w:ascii="仿宋_GB2312" w:hAnsi="仿宋_GB2312" w:eastAsia="仿宋_GB2312" w:cs="仿宋_GB2312"/>
          <w:b/>
          <w:bCs/>
          <w:spacing w:val="0"/>
          <w:kern w:val="0"/>
          <w:sz w:val="32"/>
          <w:szCs w:val="32"/>
          <w:lang w:val="en-US" w:eastAsia="zh-CN" w:bidi="ar"/>
        </w:rPr>
        <w:t>（二）部门决算中项目绩效自评结果。</w:t>
      </w:r>
      <w:r>
        <w:rPr>
          <w:rFonts w:hint="eastAsia" w:ascii="仿宋_GB2312" w:hAnsi="仿宋_GB2312" w:eastAsia="仿宋_GB2312" w:cs="仿宋_GB2312"/>
          <w:spacing w:val="0"/>
          <w:kern w:val="0"/>
          <w:sz w:val="32"/>
          <w:szCs w:val="32"/>
          <w:lang w:val="en-US" w:eastAsia="zh-CN" w:bidi="ar"/>
        </w:rPr>
        <w:t>本部门在县级部门决算中反映科技宣传、培训及创建专项经费自评结果。</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pacing w:val="0"/>
          <w:kern w:val="0"/>
          <w:sz w:val="32"/>
          <w:szCs w:val="32"/>
          <w:lang w:val="en-US" w:eastAsia="zh-CN" w:bidi="ar"/>
        </w:rPr>
      </w:pPr>
      <w:r>
        <w:rPr>
          <w:rFonts w:hint="eastAsia" w:ascii="仿宋_GB2312" w:hAnsi="仿宋_GB2312" w:eastAsia="仿宋_GB2312" w:cs="仿宋_GB2312"/>
          <w:spacing w:val="0"/>
          <w:kern w:val="0"/>
          <w:sz w:val="32"/>
          <w:szCs w:val="32"/>
          <w:lang w:val="en-US" w:eastAsia="zh-CN" w:bidi="ar"/>
        </w:rPr>
        <w:t>科技宣传、培训及创建专项经费绩效自评综述：此项目全年预算数25万元，执行数25万元，完成预算数的100%。全年完成了科技宣传、培训及创建工作。</w:t>
      </w:r>
    </w:p>
    <w:p>
      <w:pPr>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i w:val="0"/>
          <w:color w:val="000000"/>
          <w:spacing w:val="0"/>
          <w:kern w:val="0"/>
          <w:sz w:val="32"/>
          <w:szCs w:val="32"/>
          <w:u w:val="none"/>
          <w:lang w:val="en-US" w:eastAsia="zh-CN" w:bidi="ar"/>
        </w:rPr>
      </w:pPr>
      <w:r>
        <w:rPr>
          <w:rFonts w:hint="eastAsia" w:ascii="仿宋_GB2312" w:hAnsi="仿宋_GB2312" w:eastAsia="仿宋_GB2312" w:cs="仿宋_GB2312"/>
          <w:b/>
          <w:bCs/>
          <w:spacing w:val="0"/>
          <w:kern w:val="0"/>
          <w:sz w:val="32"/>
          <w:szCs w:val="32"/>
          <w:lang w:val="en-US" w:eastAsia="zh-CN" w:bidi="ar"/>
        </w:rPr>
        <w:t>（三）部门整体支出绩效自评结果。</w:t>
      </w:r>
      <w:r>
        <w:rPr>
          <w:rFonts w:hint="eastAsia" w:ascii="仿宋_GB2312" w:hAnsi="仿宋_GB2312" w:eastAsia="仿宋_GB2312" w:cs="仿宋_GB2312"/>
          <w:spacing w:val="0"/>
          <w:kern w:val="0"/>
          <w:sz w:val="32"/>
          <w:szCs w:val="32"/>
          <w:lang w:val="en-US" w:eastAsia="zh-CN" w:bidi="ar"/>
        </w:rPr>
        <w:t>根据部门整体支出绩效自评指标体系，本部门自评得分79分。部门整体支出全年预算数115.19万元，执行数108.91万元，完成预算的95%。本年度部门总体运行情况及取得的成绩：按照部门年初预算基本完成年度预算执行任务，及时的发放单位职工的各项工资福利，保证单位正常的工作运转，完成年度目标任务。发现的问题及原因：在本年度预算执行时，没有做到支出月均衡，季度均衡，在半年度支出进度没有达到规定比例。下一步改进措施：严格执行财政预算，做到资金及时支付</w:t>
      </w:r>
      <w:r>
        <w:rPr>
          <w:rFonts w:hint="eastAsia" w:ascii="仿宋_GB2312" w:hAnsi="仿宋_GB2312" w:eastAsia="仿宋_GB2312" w:cs="仿宋_GB2312"/>
          <w:spacing w:val="0"/>
          <w:sz w:val="32"/>
          <w:szCs w:val="32"/>
        </w:rPr>
        <w:t>。</w:t>
      </w:r>
    </w:p>
    <w:p>
      <w:pPr>
        <w:pStyle w:val="2"/>
        <w:rPr>
          <w:rFonts w:hint="eastAsia"/>
          <w:lang w:val="en-US" w:eastAsia="zh-CN"/>
        </w:rPr>
      </w:pPr>
    </w:p>
    <w:tbl>
      <w:tblPr>
        <w:tblStyle w:val="5"/>
        <w:tblW w:w="22080" w:type="dxa"/>
        <w:tblInd w:w="0" w:type="dxa"/>
        <w:shd w:val="clear" w:color="auto" w:fill="auto"/>
        <w:tblLayout w:type="fixed"/>
        <w:tblCellMar>
          <w:top w:w="0" w:type="dxa"/>
          <w:left w:w="0" w:type="dxa"/>
          <w:bottom w:w="0" w:type="dxa"/>
          <w:right w:w="0" w:type="dxa"/>
        </w:tblCellMar>
      </w:tblPr>
      <w:tblGrid>
        <w:gridCol w:w="323"/>
        <w:gridCol w:w="243"/>
        <w:gridCol w:w="181"/>
        <w:gridCol w:w="489"/>
        <w:gridCol w:w="3"/>
        <w:gridCol w:w="311"/>
        <w:gridCol w:w="951"/>
        <w:gridCol w:w="655"/>
        <w:gridCol w:w="1358"/>
        <w:gridCol w:w="544"/>
        <w:gridCol w:w="824"/>
        <w:gridCol w:w="132"/>
        <w:gridCol w:w="478"/>
        <w:gridCol w:w="657"/>
        <w:gridCol w:w="71"/>
        <w:gridCol w:w="396"/>
        <w:gridCol w:w="743"/>
        <w:gridCol w:w="248"/>
        <w:gridCol w:w="693"/>
        <w:gridCol w:w="164"/>
        <w:gridCol w:w="6308"/>
        <w:gridCol w:w="3156"/>
        <w:gridCol w:w="3152"/>
      </w:tblGrid>
      <w:tr>
        <w:tblPrEx>
          <w:shd w:val="clear" w:color="auto" w:fill="auto"/>
          <w:tblCellMar>
            <w:top w:w="0" w:type="dxa"/>
            <w:left w:w="0" w:type="dxa"/>
            <w:bottom w:w="0" w:type="dxa"/>
            <w:right w:w="0" w:type="dxa"/>
          </w:tblCellMar>
        </w:tblPrEx>
        <w:trPr>
          <w:gridAfter w:val="3"/>
          <w:wAfter w:w="12616" w:type="dxa"/>
          <w:trHeight w:val="516" w:hRule="atLeast"/>
        </w:trPr>
        <w:tc>
          <w:tcPr>
            <w:tcW w:w="9464" w:type="dxa"/>
            <w:gridSpan w:val="2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县级预算（项目）绩效目标自评表</w:t>
            </w:r>
          </w:p>
        </w:tc>
      </w:tr>
      <w:tr>
        <w:tblPrEx>
          <w:shd w:val="clear" w:color="auto" w:fill="auto"/>
          <w:tblCellMar>
            <w:top w:w="0" w:type="dxa"/>
            <w:left w:w="0" w:type="dxa"/>
            <w:bottom w:w="0" w:type="dxa"/>
            <w:right w:w="0" w:type="dxa"/>
          </w:tblCellMar>
        </w:tblPrEx>
        <w:trPr>
          <w:gridAfter w:val="3"/>
          <w:wAfter w:w="12616" w:type="dxa"/>
          <w:trHeight w:val="90" w:hRule="atLeast"/>
        </w:trPr>
        <w:tc>
          <w:tcPr>
            <w:tcW w:w="9464" w:type="dxa"/>
            <w:gridSpan w:val="20"/>
            <w:tcBorders>
              <w:top w:val="nil"/>
              <w:left w:val="nil"/>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tblPrEx>
          <w:shd w:val="clear" w:color="auto" w:fill="auto"/>
          <w:tblCellMar>
            <w:top w:w="0" w:type="dxa"/>
            <w:left w:w="0" w:type="dxa"/>
            <w:bottom w:w="0" w:type="dxa"/>
            <w:right w:w="0" w:type="dxa"/>
          </w:tblCellMar>
        </w:tblPrEx>
        <w:trPr>
          <w:gridAfter w:val="3"/>
          <w:wAfter w:w="12616" w:type="dxa"/>
          <w:trHeight w:val="450" w:hRule="atLeast"/>
        </w:trPr>
        <w:tc>
          <w:tcPr>
            <w:tcW w:w="2501"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专项（项目）名称</w:t>
            </w:r>
          </w:p>
        </w:tc>
        <w:tc>
          <w:tcPr>
            <w:tcW w:w="6963"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2020年科技宣传、培训及创建专项经费</w:t>
            </w:r>
          </w:p>
        </w:tc>
      </w:tr>
      <w:tr>
        <w:tblPrEx>
          <w:shd w:val="clear" w:color="auto" w:fill="auto"/>
          <w:tblCellMar>
            <w:top w:w="0" w:type="dxa"/>
            <w:left w:w="0" w:type="dxa"/>
            <w:bottom w:w="0" w:type="dxa"/>
            <w:right w:w="0" w:type="dxa"/>
          </w:tblCellMar>
        </w:tblPrEx>
        <w:trPr>
          <w:gridAfter w:val="3"/>
          <w:wAfter w:w="12616" w:type="dxa"/>
          <w:trHeight w:val="420" w:hRule="atLeast"/>
        </w:trPr>
        <w:tc>
          <w:tcPr>
            <w:tcW w:w="2501"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县级主管部门</w:t>
            </w:r>
          </w:p>
        </w:tc>
        <w:tc>
          <w:tcPr>
            <w:tcW w:w="351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柞水县科学技术协会</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24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柞水县科学技术协会</w:t>
            </w:r>
          </w:p>
        </w:tc>
      </w:tr>
      <w:tr>
        <w:tblPrEx>
          <w:shd w:val="clear" w:color="auto" w:fill="auto"/>
          <w:tblCellMar>
            <w:top w:w="0" w:type="dxa"/>
            <w:left w:w="0" w:type="dxa"/>
            <w:bottom w:w="0" w:type="dxa"/>
            <w:right w:w="0" w:type="dxa"/>
          </w:tblCellMar>
        </w:tblPrEx>
        <w:trPr>
          <w:gridAfter w:val="3"/>
          <w:wAfter w:w="12616" w:type="dxa"/>
          <w:trHeight w:val="555" w:hRule="atLeast"/>
        </w:trPr>
        <w:tc>
          <w:tcPr>
            <w:tcW w:w="250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项目资金（万元）</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全年预算数（A）</w:t>
            </w:r>
          </w:p>
        </w:tc>
        <w:tc>
          <w:tcPr>
            <w:tcW w:w="234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全年执行数（B）</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执行率（B/A）</w:t>
            </w:r>
          </w:p>
        </w:tc>
      </w:tr>
      <w:tr>
        <w:tblPrEx>
          <w:shd w:val="clear" w:color="auto" w:fill="auto"/>
          <w:tblCellMar>
            <w:top w:w="0" w:type="dxa"/>
            <w:left w:w="0" w:type="dxa"/>
            <w:bottom w:w="0" w:type="dxa"/>
            <w:right w:w="0" w:type="dxa"/>
          </w:tblCellMar>
        </w:tblPrEx>
        <w:trPr>
          <w:gridAfter w:val="3"/>
          <w:wAfter w:w="12616" w:type="dxa"/>
          <w:trHeight w:val="330" w:hRule="atLeast"/>
        </w:trPr>
        <w:tc>
          <w:tcPr>
            <w:tcW w:w="250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25</w:t>
            </w:r>
          </w:p>
        </w:tc>
        <w:tc>
          <w:tcPr>
            <w:tcW w:w="234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25</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100%</w:t>
            </w:r>
          </w:p>
        </w:tc>
      </w:tr>
      <w:tr>
        <w:tblPrEx>
          <w:shd w:val="clear" w:color="auto" w:fill="auto"/>
          <w:tblCellMar>
            <w:top w:w="0" w:type="dxa"/>
            <w:left w:w="0" w:type="dxa"/>
            <w:bottom w:w="0" w:type="dxa"/>
            <w:right w:w="0" w:type="dxa"/>
          </w:tblCellMar>
        </w:tblPrEx>
        <w:trPr>
          <w:gridAfter w:val="3"/>
          <w:wAfter w:w="12616" w:type="dxa"/>
          <w:trHeight w:val="330" w:hRule="atLeast"/>
        </w:trPr>
        <w:tc>
          <w:tcPr>
            <w:tcW w:w="250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其中:省级财政资金</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34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330" w:hRule="atLeast"/>
        </w:trPr>
        <w:tc>
          <w:tcPr>
            <w:tcW w:w="250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市县财政资金</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w:t>
            </w:r>
          </w:p>
        </w:tc>
        <w:tc>
          <w:tcPr>
            <w:tcW w:w="234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100%</w:t>
            </w:r>
          </w:p>
        </w:tc>
      </w:tr>
      <w:tr>
        <w:tblPrEx>
          <w:shd w:val="clear" w:color="auto" w:fill="auto"/>
          <w:tblCellMar>
            <w:top w:w="0" w:type="dxa"/>
            <w:left w:w="0" w:type="dxa"/>
            <w:bottom w:w="0" w:type="dxa"/>
            <w:right w:w="0" w:type="dxa"/>
          </w:tblCellMar>
        </w:tblPrEx>
        <w:trPr>
          <w:gridAfter w:val="3"/>
          <w:wAfter w:w="12616" w:type="dxa"/>
          <w:trHeight w:val="330" w:hRule="atLeast"/>
        </w:trPr>
        <w:tc>
          <w:tcPr>
            <w:tcW w:w="250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234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100%</w:t>
            </w:r>
          </w:p>
        </w:tc>
      </w:tr>
      <w:tr>
        <w:tblPrEx>
          <w:shd w:val="clear" w:color="auto" w:fill="auto"/>
          <w:tblCellMar>
            <w:top w:w="0" w:type="dxa"/>
            <w:left w:w="0" w:type="dxa"/>
            <w:bottom w:w="0" w:type="dxa"/>
            <w:right w:w="0" w:type="dxa"/>
          </w:tblCellMar>
        </w:tblPrEx>
        <w:trPr>
          <w:gridAfter w:val="3"/>
          <w:wAfter w:w="12616" w:type="dxa"/>
          <w:trHeight w:val="450" w:hRule="atLeast"/>
        </w:trPr>
        <w:tc>
          <w:tcPr>
            <w:tcW w:w="5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年度总体目标 </w:t>
            </w:r>
          </w:p>
        </w:tc>
        <w:tc>
          <w:tcPr>
            <w:tcW w:w="5448"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年初设定目标</w:t>
            </w:r>
          </w:p>
        </w:tc>
        <w:tc>
          <w:tcPr>
            <w:tcW w:w="345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全年实际完成情况</w:t>
            </w:r>
          </w:p>
        </w:tc>
      </w:tr>
      <w:tr>
        <w:tblPrEx>
          <w:shd w:val="clear" w:color="auto" w:fill="auto"/>
          <w:tblCellMar>
            <w:top w:w="0" w:type="dxa"/>
            <w:left w:w="0" w:type="dxa"/>
            <w:bottom w:w="0" w:type="dxa"/>
            <w:right w:w="0" w:type="dxa"/>
          </w:tblCellMar>
        </w:tblPrEx>
        <w:trPr>
          <w:gridAfter w:val="3"/>
          <w:wAfter w:w="12616" w:type="dxa"/>
          <w:trHeight w:val="481"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448"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abs>
                <w:tab w:val="left" w:pos="364"/>
                <w:tab w:val="center" w:pos="2772"/>
              </w:tabs>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18"/>
                <w:szCs w:val="18"/>
                <w:u w:val="none"/>
                <w:lang w:val="en-US" w:eastAsia="zh-CN"/>
              </w:rPr>
              <w:t>提升全民科学普及率和知晓率</w:t>
            </w:r>
          </w:p>
        </w:tc>
        <w:tc>
          <w:tcPr>
            <w:tcW w:w="345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已完成</w:t>
            </w:r>
          </w:p>
        </w:tc>
      </w:tr>
      <w:tr>
        <w:tblPrEx>
          <w:shd w:val="clear" w:color="auto" w:fill="auto"/>
          <w:tblCellMar>
            <w:top w:w="0" w:type="dxa"/>
            <w:left w:w="0" w:type="dxa"/>
            <w:bottom w:w="0" w:type="dxa"/>
            <w:right w:w="0" w:type="dxa"/>
          </w:tblCellMar>
        </w:tblPrEx>
        <w:trPr>
          <w:gridAfter w:val="3"/>
          <w:wAfter w:w="12616" w:type="dxa"/>
          <w:trHeight w:val="576" w:hRule="atLeast"/>
        </w:trPr>
        <w:tc>
          <w:tcPr>
            <w:tcW w:w="5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标</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26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351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年度指标值 </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全年完成值</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未完成原因进措施</w:t>
            </w:r>
          </w:p>
        </w:tc>
      </w:tr>
      <w:tr>
        <w:tblPrEx>
          <w:shd w:val="clear" w:color="auto" w:fill="auto"/>
          <w:tblCellMar>
            <w:top w:w="0" w:type="dxa"/>
            <w:left w:w="0" w:type="dxa"/>
            <w:bottom w:w="0" w:type="dxa"/>
            <w:right w:w="0" w:type="dxa"/>
          </w:tblCellMar>
        </w:tblPrEx>
        <w:trPr>
          <w:gridAfter w:val="3"/>
          <w:wAfter w:w="12616" w:type="dxa"/>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指标1：搞一次“科技之春”活动</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16"/>
                <w:szCs w:val="16"/>
                <w:u w:val="none"/>
                <w:lang w:val="en-US" w:eastAsia="zh-CN" w:bidi="ar"/>
              </w:rPr>
              <w:t xml:space="preserve"> 指标2：一次“科技三下乡”活动</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default" w:ascii="Arial" w:hAnsi="Arial" w:eastAsia="宋体" w:cs="Arial"/>
                <w:i w:val="0"/>
                <w:iCs w:val="0"/>
                <w:color w:val="000000"/>
                <w:kern w:val="0"/>
                <w:sz w:val="18"/>
                <w:szCs w:val="18"/>
                <w:u w:val="none"/>
                <w:lang w:val="en-US" w:eastAsia="zh-CN" w:bidi="ar"/>
              </w:rPr>
              <w:t>100%</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default" w:ascii="Arial" w:hAnsi="Arial" w:eastAsia="宋体" w:cs="Arial"/>
                <w:i w:val="0"/>
                <w:iCs w:val="0"/>
                <w:color w:val="000000"/>
                <w:kern w:val="0"/>
                <w:sz w:val="18"/>
                <w:szCs w:val="18"/>
                <w:u w:val="none"/>
                <w:lang w:val="en-US" w:eastAsia="zh-CN" w:bidi="ar"/>
              </w:rPr>
              <w:t>100%</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16"/>
                <w:szCs w:val="16"/>
                <w:u w:val="none"/>
                <w:lang w:val="en-US" w:eastAsia="zh-CN" w:bidi="ar"/>
              </w:rPr>
              <w:t xml:space="preserve"> 指标3：印刷发放科普宣传单、册8000份</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8000份</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default" w:ascii="Arial" w:hAnsi="Arial" w:eastAsia="宋体" w:cs="Arial"/>
                <w:i w:val="0"/>
                <w:iCs w:val="0"/>
                <w:color w:val="000000"/>
                <w:kern w:val="0"/>
                <w:sz w:val="18"/>
                <w:szCs w:val="18"/>
                <w:u w:val="none"/>
                <w:lang w:val="en-US" w:eastAsia="zh-CN" w:bidi="ar"/>
              </w:rPr>
              <w:t>100%</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155"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 xml:space="preserve"> 指标1：社区科普服务能力明显增强</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Style w:val="8"/>
                <w:rFonts w:eastAsia="宋体"/>
                <w:lang w:val="en-US" w:eastAsia="zh-CN" w:bidi="ar"/>
              </w:rPr>
              <w:t>≥</w:t>
            </w:r>
            <w:r>
              <w:rPr>
                <w:rStyle w:val="9"/>
                <w:lang w:val="en-US" w:eastAsia="zh-CN" w:bidi="ar"/>
              </w:rPr>
              <w:t>95%</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default" w:ascii="Arial" w:hAnsi="Arial" w:eastAsia="宋体" w:cs="Arial"/>
                <w:i w:val="0"/>
                <w:iCs w:val="0"/>
                <w:color w:val="000000"/>
                <w:kern w:val="0"/>
                <w:sz w:val="18"/>
                <w:szCs w:val="18"/>
                <w:u w:val="none"/>
                <w:lang w:val="en-US" w:eastAsia="zh-CN" w:bidi="ar"/>
              </w:rPr>
              <w:t>100%</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16"/>
                <w:szCs w:val="16"/>
                <w:u w:val="none"/>
                <w:lang w:val="en-US" w:eastAsia="zh-CN" w:bidi="ar"/>
              </w:rPr>
              <w:t xml:space="preserve"> 指标2：推进未成年人素质行动的实施</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18"/>
                <w:szCs w:val="18"/>
                <w:u w:val="none"/>
                <w:lang w:val="en-US" w:eastAsia="zh-CN" w:bidi="ar"/>
              </w:rPr>
              <w:t>≥95%</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default" w:ascii="Arial" w:hAnsi="Arial" w:eastAsia="宋体" w:cs="Arial"/>
                <w:i w:val="0"/>
                <w:iCs w:val="0"/>
                <w:color w:val="000000"/>
                <w:kern w:val="0"/>
                <w:sz w:val="18"/>
                <w:szCs w:val="18"/>
                <w:u w:val="none"/>
                <w:lang w:val="en-US" w:eastAsia="zh-CN" w:bidi="ar"/>
              </w:rPr>
              <w:t>100%</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581"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 xml:space="preserve"> 指标3：保证单位正科普活动需要</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100%</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default" w:ascii="Arial" w:hAnsi="Arial" w:eastAsia="宋体" w:cs="Arial"/>
                <w:i w:val="0"/>
                <w:iCs w:val="0"/>
                <w:color w:val="000000"/>
                <w:kern w:val="0"/>
                <w:sz w:val="18"/>
                <w:szCs w:val="18"/>
                <w:u w:val="none"/>
                <w:lang w:val="en-US" w:eastAsia="zh-CN" w:bidi="ar"/>
              </w:rPr>
              <w:t>100%</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 xml:space="preserve"> 指标1：2020年3月底以前</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100%</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100%</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 xml:space="preserve"> 指标2：2020年9月底以前</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100%</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100%</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控制在财政预算内</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100%</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100%</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65" w:type="dxa"/>
            <w:gridSpan w:val="3"/>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65" w:type="dxa"/>
            <w:gridSpan w:val="3"/>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65" w:type="dxa"/>
            <w:gridSpan w:val="3"/>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 指标1：科教兴柞、人才强县</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≥95%</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100%</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265" w:type="dxa"/>
            <w:gridSpan w:val="3"/>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 指标2：弘扬科学精神、普及科学知识、传播科学思想、推广科学方法。</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default" w:ascii="Arial" w:hAnsi="Arial" w:eastAsia="宋体" w:cs="Arial"/>
                <w:i w:val="0"/>
                <w:iCs w:val="0"/>
                <w:color w:val="000000"/>
                <w:kern w:val="0"/>
                <w:sz w:val="18"/>
                <w:szCs w:val="18"/>
                <w:u w:val="none"/>
                <w:lang w:val="en-US" w:eastAsia="zh-CN" w:bidi="ar"/>
              </w:rPr>
              <w:t>≥95%</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100%</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65" w:type="dxa"/>
            <w:gridSpan w:val="3"/>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宋体" w:hAnsi="宋体" w:eastAsia="宋体" w:cs="宋体"/>
                <w:i w:val="0"/>
                <w:color w:val="000000"/>
                <w:sz w:val="18"/>
                <w:szCs w:val="18"/>
                <w:u w:val="none"/>
                <w:lang w:val="en-US" w:eastAsia="zh-CN"/>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2"/>
                <w:szCs w:val="22"/>
                <w:u w:val="none"/>
                <w:lang w:val="en-US" w:eastAsia="zh-CN"/>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2"/>
                <w:szCs w:val="22"/>
                <w:u w:val="none"/>
                <w:lang w:val="en-US" w:eastAsia="zh-CN"/>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65" w:type="dxa"/>
            <w:gridSpan w:val="3"/>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18"/>
                <w:szCs w:val="18"/>
                <w:u w:val="none"/>
                <w:lang w:val="en-US" w:eastAsia="zh-CN"/>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2"/>
                <w:szCs w:val="22"/>
                <w:u w:val="none"/>
                <w:lang w:val="en-US" w:eastAsia="zh-CN"/>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2"/>
                <w:szCs w:val="22"/>
                <w:u w:val="none"/>
                <w:lang w:val="en-US" w:eastAsia="zh-CN"/>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65" w:type="dxa"/>
            <w:gridSpan w:val="3"/>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 指标1：弘扬科学精神，普及科学知识</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≥95%</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100%</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65" w:type="dxa"/>
            <w:gridSpan w:val="3"/>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 指标2：开展青少年科学技术教育活动，提高全民科学素质</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≥95%</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100%</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265" w:type="dxa"/>
            <w:gridSpan w:val="3"/>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服务对象满意度指标</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 xml:space="preserve"> 指标1：科学技术工作者得到资金和技术支持</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Style w:val="10"/>
                <w:lang w:val="en-US" w:eastAsia="zh-CN" w:bidi="ar"/>
              </w:rPr>
              <w:t>≥</w:t>
            </w:r>
            <w:r>
              <w:rPr>
                <w:rFonts w:hint="default" w:ascii="Arial" w:hAnsi="Arial" w:eastAsia="宋体" w:cs="Arial"/>
                <w:i w:val="0"/>
                <w:iCs w:val="0"/>
                <w:color w:val="000000"/>
                <w:kern w:val="0"/>
                <w:sz w:val="18"/>
                <w:szCs w:val="18"/>
                <w:u w:val="none"/>
                <w:lang w:val="en-US" w:eastAsia="zh-CN" w:bidi="ar"/>
              </w:rPr>
              <w:t>95%</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100%</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65" w:type="dxa"/>
            <w:gridSpan w:val="3"/>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 xml:space="preserve"> 指标2：全体青少年提高科学素质</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Style w:val="10"/>
                <w:lang w:val="en-US" w:eastAsia="zh-CN" w:bidi="ar"/>
              </w:rPr>
              <w:t>≥</w:t>
            </w:r>
            <w:r>
              <w:rPr>
                <w:rFonts w:hint="default" w:ascii="Arial" w:hAnsi="Arial" w:eastAsia="宋体" w:cs="Arial"/>
                <w:i w:val="0"/>
                <w:iCs w:val="0"/>
                <w:color w:val="000000"/>
                <w:kern w:val="0"/>
                <w:sz w:val="18"/>
                <w:szCs w:val="18"/>
                <w:u w:val="none"/>
                <w:lang w:val="en-US" w:eastAsia="zh-CN" w:bidi="ar"/>
              </w:rPr>
              <w:t>95%</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242"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18"/>
                <w:szCs w:val="18"/>
                <w:u w:val="none"/>
                <w:lang w:val="en-US" w:eastAsia="zh-CN"/>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288" w:hRule="atLeast"/>
        </w:trPr>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说明</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3"/>
          <w:wAfter w:w="12616" w:type="dxa"/>
          <w:trHeight w:val="2070" w:hRule="atLeast"/>
        </w:trPr>
        <w:tc>
          <w:tcPr>
            <w:tcW w:w="9464" w:type="dxa"/>
            <w:gridSpan w:val="20"/>
            <w:tcBorders>
              <w:top w:val="single" w:color="000000" w:sz="4" w:space="0"/>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注：1、其他资金包括和财政资金共同投入到同一项目的自有资金、社会资金，以及以前年度的结余资金等。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2、定量指标，资金使用单位填写本地区实际完成数。财政和主管部门汇总时，对绝对值直接累加计算，相对值按照资金额度加权平均计算。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3、定性指标根据指标完成情况分为：全部或基本达成预期指标、部分达成预期指标并具有一定效果、未达成预期指标且效果较差三档，分别按照100%－80%（含）、80%-60%（含）、60%－0%合理填写完成比例。</w:t>
            </w:r>
          </w:p>
        </w:tc>
      </w:tr>
      <w:tr>
        <w:tblPrEx>
          <w:shd w:val="clear" w:color="auto" w:fill="auto"/>
          <w:tblCellMar>
            <w:top w:w="0" w:type="dxa"/>
            <w:left w:w="0" w:type="dxa"/>
            <w:bottom w:w="0" w:type="dxa"/>
            <w:right w:w="0" w:type="dxa"/>
          </w:tblCellMar>
        </w:tblPrEx>
        <w:trPr>
          <w:gridAfter w:val="4"/>
          <w:wAfter w:w="12780" w:type="dxa"/>
          <w:trHeight w:val="585" w:hRule="atLeast"/>
        </w:trPr>
        <w:tc>
          <w:tcPr>
            <w:tcW w:w="9300" w:type="dxa"/>
            <w:gridSpan w:val="19"/>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部门整体支出绩效自评表</w:t>
            </w:r>
          </w:p>
        </w:tc>
      </w:tr>
      <w:tr>
        <w:tblPrEx>
          <w:shd w:val="clear" w:color="auto" w:fill="auto"/>
          <w:tblCellMar>
            <w:top w:w="0" w:type="dxa"/>
            <w:left w:w="0" w:type="dxa"/>
            <w:bottom w:w="0" w:type="dxa"/>
            <w:right w:w="0" w:type="dxa"/>
          </w:tblCellMar>
        </w:tblPrEx>
        <w:trPr>
          <w:gridAfter w:val="3"/>
          <w:wAfter w:w="12616" w:type="dxa"/>
          <w:trHeight w:val="405" w:hRule="atLeast"/>
        </w:trPr>
        <w:tc>
          <w:tcPr>
            <w:tcW w:w="9464" w:type="dxa"/>
            <w:gridSpan w:val="2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tblPrEx>
          <w:shd w:val="clear" w:color="auto" w:fill="auto"/>
          <w:tblCellMar>
            <w:top w:w="0" w:type="dxa"/>
            <w:left w:w="0" w:type="dxa"/>
            <w:bottom w:w="0" w:type="dxa"/>
            <w:right w:w="0" w:type="dxa"/>
          </w:tblCellMar>
        </w:tblPrEx>
        <w:trPr>
          <w:gridAfter w:val="1"/>
          <w:wAfter w:w="3152" w:type="dxa"/>
          <w:trHeight w:val="390" w:hRule="atLeast"/>
        </w:trPr>
        <w:tc>
          <w:tcPr>
            <w:tcW w:w="9464" w:type="dxa"/>
            <w:gridSpan w:val="2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填报单位：自评得分：79分</w:t>
            </w:r>
          </w:p>
        </w:tc>
        <w:tc>
          <w:tcPr>
            <w:tcW w:w="94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gridAfter w:val="3"/>
          <w:wAfter w:w="12616" w:type="dxa"/>
          <w:trHeight w:val="440" w:hRule="atLeast"/>
        </w:trPr>
        <w:tc>
          <w:tcPr>
            <w:tcW w:w="315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（一）简要概述部门职能与职责。</w:t>
            </w:r>
          </w:p>
        </w:tc>
        <w:tc>
          <w:tcPr>
            <w:tcW w:w="6308"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宋体" w:hAnsi="宋体" w:eastAsia="宋体" w:cs="宋体"/>
                <w:i w:val="0"/>
                <w:iCs w:val="0"/>
                <w:caps w:val="0"/>
                <w:color w:val="000000"/>
                <w:spacing w:val="21"/>
                <w:sz w:val="18"/>
                <w:szCs w:val="18"/>
              </w:rPr>
            </w:pPr>
            <w:r>
              <w:rPr>
                <w:rFonts w:hint="eastAsia" w:ascii="宋体" w:hAnsi="宋体" w:eastAsia="宋体" w:cs="宋体"/>
                <w:i w:val="0"/>
                <w:iCs w:val="0"/>
                <w:caps w:val="0"/>
                <w:color w:val="000000"/>
                <w:spacing w:val="21"/>
                <w:kern w:val="0"/>
                <w:sz w:val="20"/>
                <w:szCs w:val="20"/>
                <w:shd w:val="clear" w:fill="FFFFFF"/>
                <w:lang w:val="en-US" w:eastAsia="zh-CN" w:bidi="ar"/>
              </w:rPr>
              <w:t>1.推动科教兴柞、人才强县和科技带动战略的实施，促进科技进步、经济发展和社会繁荣。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宋体" w:hAnsi="宋体" w:eastAsia="宋体" w:cs="宋体"/>
                <w:i w:val="0"/>
                <w:iCs w:val="0"/>
                <w:caps w:val="0"/>
                <w:color w:val="000000"/>
                <w:spacing w:val="21"/>
                <w:sz w:val="18"/>
                <w:szCs w:val="18"/>
              </w:rPr>
            </w:pPr>
            <w:r>
              <w:rPr>
                <w:rFonts w:hint="eastAsia" w:ascii="宋体" w:hAnsi="宋体" w:eastAsia="宋体" w:cs="宋体"/>
                <w:i w:val="0"/>
                <w:iCs w:val="0"/>
                <w:caps w:val="0"/>
                <w:color w:val="000000"/>
                <w:spacing w:val="21"/>
                <w:kern w:val="0"/>
                <w:sz w:val="20"/>
                <w:szCs w:val="20"/>
                <w:shd w:val="clear" w:fill="FFFFFF"/>
                <w:lang w:val="en-US" w:eastAsia="zh-CN" w:bidi="ar"/>
              </w:rPr>
              <w:t>2.制定科普工作规划，开展科学技术普及工作；指导科普设施和科普阵地、场所的建设和管理；负责科普工作者队伍的培训。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宋体" w:hAnsi="宋体" w:eastAsia="宋体" w:cs="宋体"/>
                <w:i w:val="0"/>
                <w:iCs w:val="0"/>
                <w:caps w:val="0"/>
                <w:color w:val="000000"/>
                <w:spacing w:val="21"/>
                <w:sz w:val="18"/>
                <w:szCs w:val="18"/>
              </w:rPr>
            </w:pPr>
            <w:r>
              <w:rPr>
                <w:rFonts w:hint="eastAsia" w:ascii="宋体" w:hAnsi="宋体" w:eastAsia="宋体" w:cs="宋体"/>
                <w:i w:val="0"/>
                <w:iCs w:val="0"/>
                <w:caps w:val="0"/>
                <w:color w:val="000000"/>
                <w:spacing w:val="21"/>
                <w:kern w:val="0"/>
                <w:sz w:val="20"/>
                <w:szCs w:val="20"/>
                <w:shd w:val="clear" w:fill="FFFFFF"/>
                <w:lang w:val="en-US" w:eastAsia="zh-CN" w:bidi="ar"/>
              </w:rPr>
              <w:t>3.弘扬科学精神、普及科学知识、传播科学思想、推广科学方法。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宋体" w:hAnsi="宋体" w:eastAsia="宋体" w:cs="宋体"/>
                <w:i w:val="0"/>
                <w:iCs w:val="0"/>
                <w:caps w:val="0"/>
                <w:color w:val="000000"/>
                <w:spacing w:val="21"/>
                <w:sz w:val="18"/>
                <w:szCs w:val="18"/>
              </w:rPr>
            </w:pPr>
            <w:r>
              <w:rPr>
                <w:rFonts w:hint="eastAsia" w:ascii="宋体" w:hAnsi="宋体" w:eastAsia="宋体" w:cs="宋体"/>
                <w:i w:val="0"/>
                <w:iCs w:val="0"/>
                <w:caps w:val="0"/>
                <w:color w:val="000000"/>
                <w:spacing w:val="21"/>
                <w:kern w:val="0"/>
                <w:sz w:val="20"/>
                <w:szCs w:val="20"/>
                <w:shd w:val="clear" w:fill="FFFFFF"/>
                <w:lang w:val="en-US" w:eastAsia="zh-CN" w:bidi="ar"/>
              </w:rPr>
              <w:t>4.开展学术交流和学术研讨活动，活跃学术思想，促进学科发展，推动自主创新。承接与科技相关的科技评价、人才评价、科技评选奖励等职能。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宋体" w:hAnsi="宋体" w:eastAsia="宋体" w:cs="宋体"/>
                <w:i w:val="0"/>
                <w:color w:val="000000"/>
                <w:sz w:val="20"/>
                <w:szCs w:val="20"/>
                <w:u w:val="none"/>
              </w:rPr>
            </w:pPr>
            <w:r>
              <w:rPr>
                <w:rFonts w:hint="eastAsia" w:ascii="宋体" w:hAnsi="宋体" w:eastAsia="宋体" w:cs="宋体"/>
                <w:i w:val="0"/>
                <w:iCs w:val="0"/>
                <w:caps w:val="0"/>
                <w:color w:val="000000"/>
                <w:spacing w:val="21"/>
                <w:kern w:val="0"/>
                <w:sz w:val="20"/>
                <w:szCs w:val="20"/>
                <w:shd w:val="clear" w:fill="FFFFFF"/>
                <w:lang w:val="en-US" w:eastAsia="zh-CN" w:bidi="ar"/>
              </w:rPr>
              <w:t>5.举荐、宣传、表彰奖励优秀科技工作者、自然科学优秀学术论文及学术成果，发挥学术团体举荐科技人才的作用。组织科技工作者开展面向社会的继续教育工作。</w:t>
            </w:r>
          </w:p>
        </w:tc>
      </w:tr>
      <w:tr>
        <w:tblPrEx>
          <w:shd w:val="clear" w:color="auto" w:fill="auto"/>
          <w:tblCellMar>
            <w:top w:w="0" w:type="dxa"/>
            <w:left w:w="0" w:type="dxa"/>
            <w:bottom w:w="0" w:type="dxa"/>
            <w:right w:w="0" w:type="dxa"/>
          </w:tblCellMar>
        </w:tblPrEx>
        <w:trPr>
          <w:gridAfter w:val="3"/>
          <w:wAfter w:w="12616" w:type="dxa"/>
          <w:trHeight w:val="1196" w:hRule="atLeast"/>
        </w:trPr>
        <w:tc>
          <w:tcPr>
            <w:tcW w:w="315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（二）简要概述部门支出情况，按活动内容分类。</w:t>
            </w:r>
          </w:p>
        </w:tc>
        <w:tc>
          <w:tcPr>
            <w:tcW w:w="6308"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r>
              <w:rPr>
                <w:rFonts w:hint="eastAsia" w:asciiTheme="minorEastAsia" w:hAnsiTheme="minorEastAsia" w:eastAsiaTheme="minorEastAsia" w:cstheme="minorEastAsia"/>
                <w:kern w:val="0"/>
                <w:sz w:val="20"/>
                <w:szCs w:val="20"/>
              </w:rPr>
              <w:t>本年度总支出</w:t>
            </w:r>
            <w:r>
              <w:rPr>
                <w:rFonts w:hint="eastAsia" w:asciiTheme="minorEastAsia" w:hAnsiTheme="minorEastAsia" w:cstheme="minorEastAsia"/>
                <w:kern w:val="0"/>
                <w:sz w:val="20"/>
                <w:szCs w:val="20"/>
                <w:lang w:val="en-US" w:eastAsia="zh-CN"/>
              </w:rPr>
              <w:t>108.91</w:t>
            </w:r>
            <w:r>
              <w:rPr>
                <w:rFonts w:hint="eastAsia" w:asciiTheme="minorEastAsia" w:hAnsiTheme="minorEastAsia" w:eastAsiaTheme="minorEastAsia" w:cstheme="minorEastAsia"/>
                <w:kern w:val="0"/>
                <w:sz w:val="20"/>
                <w:szCs w:val="20"/>
              </w:rPr>
              <w:t>万元，其中基本支出</w:t>
            </w:r>
            <w:r>
              <w:rPr>
                <w:rFonts w:hint="eastAsia" w:asciiTheme="minorEastAsia" w:hAnsiTheme="minorEastAsia" w:cstheme="minorEastAsia"/>
                <w:kern w:val="0"/>
                <w:sz w:val="20"/>
                <w:szCs w:val="20"/>
                <w:lang w:val="en-US" w:eastAsia="zh-CN"/>
              </w:rPr>
              <w:t>83.91</w:t>
            </w:r>
            <w:r>
              <w:rPr>
                <w:rFonts w:hint="eastAsia" w:asciiTheme="minorEastAsia" w:hAnsiTheme="minorEastAsia" w:eastAsiaTheme="minorEastAsia" w:cstheme="minorEastAsia"/>
                <w:kern w:val="0"/>
                <w:sz w:val="20"/>
                <w:szCs w:val="20"/>
              </w:rPr>
              <w:t>万元，项目支出</w:t>
            </w:r>
            <w:r>
              <w:rPr>
                <w:rFonts w:hint="eastAsia" w:asciiTheme="minorEastAsia" w:hAnsiTheme="minorEastAsia" w:cstheme="minorEastAsia"/>
                <w:kern w:val="0"/>
                <w:sz w:val="20"/>
                <w:szCs w:val="20"/>
                <w:lang w:val="en-US" w:eastAsia="zh-CN"/>
              </w:rPr>
              <w:t>25</w:t>
            </w:r>
            <w:r>
              <w:rPr>
                <w:rFonts w:hint="eastAsia" w:asciiTheme="minorEastAsia" w:hAnsiTheme="minorEastAsia" w:eastAsiaTheme="minorEastAsia" w:cstheme="minorEastAsia"/>
                <w:kern w:val="0"/>
                <w:sz w:val="20"/>
                <w:szCs w:val="20"/>
              </w:rPr>
              <w:t>万元。</w:t>
            </w:r>
          </w:p>
        </w:tc>
      </w:tr>
      <w:tr>
        <w:tblPrEx>
          <w:tblCellMar>
            <w:top w:w="0" w:type="dxa"/>
            <w:left w:w="0" w:type="dxa"/>
            <w:bottom w:w="0" w:type="dxa"/>
            <w:right w:w="0" w:type="dxa"/>
          </w:tblCellMar>
        </w:tblPrEx>
        <w:trPr>
          <w:trHeight w:val="540" w:hRule="atLeast"/>
        </w:trPr>
        <w:tc>
          <w:tcPr>
            <w:tcW w:w="315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（三）简要概述当年县委县政府下达的重点工作。</w:t>
            </w:r>
          </w:p>
        </w:tc>
        <w:tc>
          <w:tcPr>
            <w:tcW w:w="6308"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宋体" w:hAnsi="宋体" w:eastAsia="宋体" w:cs="宋体"/>
                <w:i w:val="0"/>
                <w:iCs w:val="0"/>
                <w:caps w:val="0"/>
                <w:color w:val="000000"/>
                <w:spacing w:val="21"/>
                <w:sz w:val="18"/>
                <w:szCs w:val="18"/>
              </w:rPr>
            </w:pPr>
            <w:r>
              <w:rPr>
                <w:rFonts w:hint="eastAsia" w:ascii="宋体" w:hAnsi="宋体" w:eastAsia="宋体" w:cs="宋体"/>
                <w:i w:val="0"/>
                <w:iCs w:val="0"/>
                <w:caps w:val="0"/>
                <w:color w:val="000000"/>
                <w:spacing w:val="21"/>
                <w:kern w:val="0"/>
                <w:sz w:val="20"/>
                <w:szCs w:val="20"/>
                <w:shd w:val="clear" w:fill="FFFFFF"/>
                <w:lang w:val="en-US" w:eastAsia="zh-CN" w:bidi="ar"/>
              </w:rPr>
              <w:t>1.组织开展好“科技之春”宣传月、全国科普日、科技“三下乡”等群众性科普宣传活动，创新思路，丰富内涵，切实增强活动的实效性。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宋体" w:hAnsi="宋体" w:eastAsia="宋体" w:cs="宋体"/>
                <w:i w:val="0"/>
                <w:iCs w:val="0"/>
                <w:caps w:val="0"/>
                <w:color w:val="000000"/>
                <w:spacing w:val="21"/>
                <w:sz w:val="18"/>
                <w:szCs w:val="18"/>
              </w:rPr>
            </w:pPr>
            <w:r>
              <w:rPr>
                <w:rFonts w:hint="eastAsia" w:ascii="宋体" w:hAnsi="宋体" w:eastAsia="宋体" w:cs="宋体"/>
                <w:i w:val="0"/>
                <w:iCs w:val="0"/>
                <w:caps w:val="0"/>
                <w:color w:val="000000"/>
                <w:spacing w:val="21"/>
                <w:kern w:val="0"/>
                <w:sz w:val="20"/>
                <w:szCs w:val="20"/>
                <w:shd w:val="clear" w:fill="FFFFFF"/>
                <w:lang w:val="en-US" w:eastAsia="zh-CN" w:bidi="ar"/>
              </w:rPr>
              <w:t>2.组织好青少年科技教育工作。抓好青少年科技创新大赛、科技教育特色学校的创建，全面推进未成年人素质行动的实施。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宋体" w:hAnsi="宋体" w:eastAsia="宋体" w:cs="宋体"/>
                <w:i w:val="0"/>
                <w:iCs w:val="0"/>
                <w:caps w:val="0"/>
                <w:color w:val="000000"/>
                <w:spacing w:val="21"/>
                <w:sz w:val="18"/>
                <w:szCs w:val="18"/>
              </w:rPr>
            </w:pPr>
            <w:r>
              <w:rPr>
                <w:rFonts w:hint="eastAsia" w:ascii="宋体" w:hAnsi="宋体" w:eastAsia="宋体" w:cs="宋体"/>
                <w:i w:val="0"/>
                <w:iCs w:val="0"/>
                <w:caps w:val="0"/>
                <w:color w:val="000000"/>
                <w:spacing w:val="21"/>
                <w:kern w:val="0"/>
                <w:sz w:val="20"/>
                <w:szCs w:val="20"/>
                <w:shd w:val="clear" w:fill="FFFFFF"/>
                <w:lang w:val="en-US" w:eastAsia="zh-CN" w:bidi="ar"/>
              </w:rPr>
              <w:t>3.召开县全民科学素质工作推进会，强化措施，夯实责任，确保《刚要》的实施有序推进。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宋体" w:hAnsi="宋体" w:eastAsia="宋体" w:cs="宋体"/>
                <w:i w:val="0"/>
                <w:iCs w:val="0"/>
                <w:caps w:val="0"/>
                <w:color w:val="000000"/>
                <w:spacing w:val="21"/>
                <w:sz w:val="18"/>
                <w:szCs w:val="18"/>
              </w:rPr>
            </w:pPr>
            <w:r>
              <w:rPr>
                <w:rFonts w:hint="eastAsia" w:ascii="宋体" w:hAnsi="宋体" w:eastAsia="宋体" w:cs="宋体"/>
                <w:i w:val="0"/>
                <w:iCs w:val="0"/>
                <w:caps w:val="0"/>
                <w:color w:val="000000"/>
                <w:spacing w:val="21"/>
                <w:kern w:val="0"/>
                <w:sz w:val="20"/>
                <w:szCs w:val="20"/>
                <w:shd w:val="clear" w:fill="FFFFFF"/>
                <w:lang w:val="en-US" w:eastAsia="zh-CN" w:bidi="ar"/>
              </w:rPr>
              <w:t>4.强化社区科普工作，创建社区科普学校，完善社区科普设施，增强社区科普功能，使社区科普服务能力明显增强。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宋体" w:hAnsi="宋体" w:eastAsia="宋体" w:cs="宋体"/>
                <w:i w:val="0"/>
                <w:iCs w:val="0"/>
                <w:caps w:val="0"/>
                <w:color w:val="000000"/>
                <w:spacing w:val="21"/>
                <w:sz w:val="18"/>
                <w:szCs w:val="18"/>
              </w:rPr>
            </w:pPr>
            <w:r>
              <w:rPr>
                <w:rFonts w:hint="eastAsia" w:ascii="宋体" w:hAnsi="宋体" w:eastAsia="宋体" w:cs="宋体"/>
                <w:i w:val="0"/>
                <w:iCs w:val="0"/>
                <w:caps w:val="0"/>
                <w:color w:val="000000"/>
                <w:spacing w:val="21"/>
                <w:kern w:val="0"/>
                <w:sz w:val="20"/>
                <w:szCs w:val="20"/>
                <w:shd w:val="clear" w:fill="FFFFFF"/>
                <w:lang w:val="en-US" w:eastAsia="zh-CN" w:bidi="ar"/>
              </w:rPr>
              <w:t>5.继续开展好“五创一带”活动。积极培养一批示范带动能力强、作用发挥好、经济效益高的科普示范镇、村、农技协、基地和带头人，为科普惠农兴村（富民）计划项目的实施奠定基础。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宋体" w:hAnsi="宋体" w:eastAsia="宋体" w:cs="宋体"/>
                <w:i w:val="0"/>
                <w:color w:val="000000"/>
                <w:sz w:val="20"/>
                <w:szCs w:val="20"/>
                <w:u w:val="none"/>
              </w:rPr>
            </w:pPr>
            <w:r>
              <w:rPr>
                <w:rFonts w:hint="eastAsia" w:ascii="宋体" w:hAnsi="宋体" w:eastAsia="宋体" w:cs="宋体"/>
                <w:i w:val="0"/>
                <w:iCs w:val="0"/>
                <w:caps w:val="0"/>
                <w:color w:val="000000"/>
                <w:spacing w:val="21"/>
                <w:kern w:val="0"/>
                <w:sz w:val="20"/>
                <w:szCs w:val="20"/>
                <w:shd w:val="clear" w:fill="FFFFFF"/>
                <w:lang w:val="en-US" w:eastAsia="zh-CN" w:bidi="ar"/>
              </w:rPr>
              <w:t>6.加强科协组织自身建设。积极探索建立科普组织管理工作长效机制，推进科普事业大发展。</w:t>
            </w:r>
          </w:p>
        </w:tc>
        <w:tc>
          <w:tcPr>
            <w:tcW w:w="6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rPr>
            </w:pPr>
            <w:r>
              <w:rPr>
                <w:rFonts w:hint="eastAsia" w:ascii="宋体" w:hAnsi="宋体" w:eastAsia="宋体" w:cs="宋体"/>
                <w:i w:val="0"/>
                <w:color w:val="000000"/>
                <w:kern w:val="0"/>
                <w:sz w:val="20"/>
                <w:szCs w:val="20"/>
                <w:u w:val="none"/>
                <w:lang w:val="en-US" w:eastAsia="zh-CN" w:bidi="ar"/>
              </w:rPr>
              <w:t>分值</w:t>
            </w:r>
          </w:p>
        </w:tc>
        <w:tc>
          <w:tcPr>
            <w:tcW w:w="63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仿宋_GB2312" w:eastAsia="仿宋_GB2312" w:cs="仿宋_GB2312"/>
                <w:kern w:val="0"/>
                <w:sz w:val="20"/>
                <w:szCs w:val="20"/>
              </w:rPr>
            </w:pPr>
          </w:p>
        </w:tc>
      </w:tr>
      <w:tr>
        <w:tblPrEx>
          <w:shd w:val="clear" w:color="auto" w:fill="auto"/>
          <w:tblCellMar>
            <w:top w:w="0" w:type="dxa"/>
            <w:left w:w="0" w:type="dxa"/>
            <w:bottom w:w="0" w:type="dxa"/>
            <w:right w:w="0" w:type="dxa"/>
          </w:tblCellMar>
        </w:tblPrEx>
        <w:trPr>
          <w:gridAfter w:val="3"/>
          <w:wAfter w:w="12616" w:type="dxa"/>
          <w:trHeight w:val="1260" w:hRule="atLeast"/>
        </w:trPr>
        <w:tc>
          <w:tcPr>
            <w:tcW w:w="3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4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492"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指标说明</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评分标准</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指标值计算公工和数据获取方式</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目标值</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完成值</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未完成原因分析与改进措施</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绩效指标分析与建议</w:t>
            </w:r>
          </w:p>
        </w:tc>
      </w:tr>
      <w:tr>
        <w:tblPrEx>
          <w:shd w:val="clear" w:color="auto" w:fill="auto"/>
          <w:tblCellMar>
            <w:top w:w="0" w:type="dxa"/>
            <w:left w:w="0" w:type="dxa"/>
            <w:bottom w:w="0" w:type="dxa"/>
            <w:right w:w="0" w:type="dxa"/>
          </w:tblCellMar>
        </w:tblPrEx>
        <w:trPr>
          <w:gridAfter w:val="3"/>
          <w:wAfter w:w="12616" w:type="dxa"/>
          <w:trHeight w:val="4540" w:hRule="atLeast"/>
        </w:trPr>
        <w:tc>
          <w:tcPr>
            <w:tcW w:w="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投入</w:t>
            </w:r>
          </w:p>
        </w:tc>
        <w:tc>
          <w:tcPr>
            <w:tcW w:w="4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预算执行（25分）</w:t>
            </w: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预算完成率（10分）</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预算完成率＝（预算完成数/预算数）×100%，用以反映和考核部门（单位）预算完成程度。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预算完成数：部门（单位）本年度实际完成的预算数。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预算数：财政部门批复的本年度部门（单位）预算数。</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预算完成率＝100%的，得10分。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预算完成率≥95%的，得9分。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预算完成率在90%（含）和95%之间，得8分。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预算完成率在85%（含）和90%之间，得7分。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预算完成率在80%（含）和85%之间，得6分。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预算完成率在70%（含）和80%之间，得4分。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预算完成率〈70%”的，得0分。</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仿宋_GB2312" w:cs="宋体"/>
                <w:i w:val="0"/>
                <w:color w:val="000000"/>
                <w:sz w:val="20"/>
                <w:szCs w:val="20"/>
                <w:u w:val="none"/>
                <w:lang w:val="en-US" w:eastAsia="zh-CN"/>
              </w:rPr>
            </w:pPr>
            <w:r>
              <w:rPr>
                <w:rFonts w:hint="eastAsia" w:ascii="宋体" w:hAnsi="宋体" w:eastAsia="仿宋_GB2312" w:cs="宋体"/>
                <w:i w:val="0"/>
                <w:color w:val="000000"/>
                <w:sz w:val="20"/>
                <w:szCs w:val="20"/>
                <w:u w:val="none"/>
                <w:lang w:val="en-US" w:eastAsia="zh-CN"/>
              </w:rPr>
              <w:t>108.91/115.19*100%=95%</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iCs w:val="0"/>
                <w:caps w:val="0"/>
                <w:color w:val="000000"/>
                <w:spacing w:val="20"/>
                <w:sz w:val="20"/>
                <w:szCs w:val="20"/>
                <w:shd w:val="clear" w:fill="FFFFFF"/>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主要原因是本年底有部分支出没有及时进行结算结余部分其他资金</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加强资金及时结算。</w:t>
            </w:r>
          </w:p>
        </w:tc>
      </w:tr>
      <w:tr>
        <w:tblPrEx>
          <w:shd w:val="clear" w:color="auto" w:fill="auto"/>
          <w:tblCellMar>
            <w:top w:w="0" w:type="dxa"/>
            <w:left w:w="0" w:type="dxa"/>
            <w:bottom w:w="0" w:type="dxa"/>
            <w:right w:w="0" w:type="dxa"/>
          </w:tblCellMar>
        </w:tblPrEx>
        <w:trPr>
          <w:gridAfter w:val="3"/>
          <w:wAfter w:w="12616" w:type="dxa"/>
          <w:trHeight w:val="2880" w:hRule="atLeast"/>
        </w:trPr>
        <w:tc>
          <w:tcPr>
            <w:tcW w:w="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预算调整率（5分）</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预算调整数＝（预算调整数/预算数）×100%，用以反映和考核部门（单位）预算的调整程度。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预算包括一般公共预算与政府性基金预算。</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预算调整率绝对值≤5%，得5分。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预算调整绝对值〉5%的，每增加0.1个百分点扣0.1分，扣完为止。</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112.93-90.26/90.26*100%=25%</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75%</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年度内对人员及部分公用经费进行了预算调整</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加强年初预算编制的细化，提高精度</w:t>
            </w:r>
          </w:p>
        </w:tc>
      </w:tr>
      <w:tr>
        <w:tblPrEx>
          <w:shd w:val="clear" w:color="auto" w:fill="auto"/>
          <w:tblCellMar>
            <w:top w:w="0" w:type="dxa"/>
            <w:left w:w="0" w:type="dxa"/>
            <w:bottom w:w="0" w:type="dxa"/>
            <w:right w:w="0" w:type="dxa"/>
          </w:tblCellMar>
        </w:tblPrEx>
        <w:trPr>
          <w:gridAfter w:val="3"/>
          <w:wAfter w:w="12616" w:type="dxa"/>
          <w:trHeight w:val="5800" w:hRule="atLeast"/>
        </w:trPr>
        <w:tc>
          <w:tcPr>
            <w:tcW w:w="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投入</w:t>
            </w:r>
          </w:p>
        </w:tc>
        <w:tc>
          <w:tcPr>
            <w:tcW w:w="4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预算执行（25分）</w:t>
            </w: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支出进度率（5分）</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支出进度率＝（实际支出/支出预算）×100%，用以反映和考核部门（单位）预算执行的及时性和均衡性程度。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半年支出进度＝部门上半年实际支出/（上年结余结转+本年部门预算安排+上半年执行中追加追减）*100%。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前三季度支出进度＝部门前三季度实际支出/（上年结余结转+本年部门预算安排+前三季度执行中追加追减）*100%。</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半年进度，进度率≥45%，得2分；进度率在40%（含）和45%之间，得1分；进度率〈40%，得0分。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前三季度进度：进度率≥75%，得3分；进度率在60%（含）和75%之间，得2分；进度率〈60%，得0分。</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lang w:val="en-US" w:eastAsia="zh-CN"/>
              </w:rPr>
            </w:pPr>
            <w:r>
              <w:rPr>
                <w:rFonts w:hint="eastAsia"/>
                <w:lang w:eastAsia="zh-CN"/>
              </w:rPr>
              <w:t>半年支出进度</w:t>
            </w:r>
            <w:r>
              <w:rPr>
                <w:rFonts w:hint="eastAsia"/>
                <w:lang w:val="en-US" w:eastAsia="zh-CN"/>
              </w:rPr>
              <w:t>32.84/103.78*100%=32%</w:t>
            </w:r>
          </w:p>
          <w:p>
            <w:pPr>
              <w:pStyle w:val="2"/>
              <w:rPr>
                <w:rFonts w:hint="eastAsia" w:ascii="宋体" w:hAnsi="宋体" w:eastAsia="宋体" w:cs="宋体"/>
                <w:i w:val="0"/>
                <w:color w:val="000000"/>
                <w:sz w:val="20"/>
                <w:szCs w:val="20"/>
                <w:u w:val="none"/>
                <w:lang w:val="en-US" w:eastAsia="zh-CN"/>
              </w:rPr>
            </w:pPr>
          </w:p>
          <w:p>
            <w:pPr>
              <w:pStyle w:val="2"/>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前三季度支出进度54.77/103.78*100%=53%</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cs="宋体" w:hAnsiTheme="minorHAnsi" w:eastAsiaTheme="minorEastAsia"/>
                <w:color w:val="000000"/>
                <w:kern w:val="2"/>
                <w:sz w:val="20"/>
                <w:szCs w:val="20"/>
                <w:lang w:val="en-US" w:eastAsia="zh-CN" w:bidi="ar-SA"/>
              </w:rPr>
            </w:pPr>
            <w:r>
              <w:rPr>
                <w:rFonts w:hint="eastAsia" w:ascii="宋体" w:cs="宋体"/>
                <w:color w:val="000000"/>
                <w:kern w:val="2"/>
                <w:sz w:val="20"/>
                <w:szCs w:val="20"/>
                <w:lang w:val="en-US" w:eastAsia="zh-CN" w:bidi="ar-SA"/>
              </w:rPr>
              <w:t>43%</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cs="宋体" w:hAnsiTheme="minorHAnsi" w:eastAsiaTheme="minorEastAsia"/>
                <w:color w:val="000000"/>
                <w:kern w:val="2"/>
                <w:sz w:val="20"/>
                <w:szCs w:val="20"/>
                <w:lang w:val="en-US" w:eastAsia="zh-CN" w:bidi="ar-SA"/>
              </w:rPr>
            </w:pPr>
            <w:r>
              <w:rPr>
                <w:rFonts w:hint="eastAsia" w:ascii="宋体" w:cs="宋体"/>
                <w:color w:val="000000"/>
                <w:kern w:val="2"/>
                <w:sz w:val="20"/>
                <w:szCs w:val="20"/>
                <w:lang w:val="en-US" w:eastAsia="zh-CN" w:bidi="ar-SA"/>
              </w:rPr>
              <w:t>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主要原因是本单位无财务人员，日常支出没有按进度付款</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加强日常核算管理，按预算进度进行各项资金的支付</w:t>
            </w:r>
          </w:p>
        </w:tc>
      </w:tr>
      <w:tr>
        <w:tblPrEx>
          <w:shd w:val="clear" w:color="auto" w:fill="auto"/>
          <w:tblCellMar>
            <w:top w:w="0" w:type="dxa"/>
            <w:left w:w="0" w:type="dxa"/>
            <w:bottom w:w="0" w:type="dxa"/>
            <w:right w:w="0" w:type="dxa"/>
          </w:tblCellMar>
        </w:tblPrEx>
        <w:trPr>
          <w:gridAfter w:val="3"/>
          <w:wAfter w:w="12616" w:type="dxa"/>
          <w:trHeight w:val="2180" w:hRule="atLeast"/>
        </w:trPr>
        <w:tc>
          <w:tcPr>
            <w:tcW w:w="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预算编制准确率（5分）</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部门预算中除财政拨款外的其他收入预算与决算差异率。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预算编制准确率＝其他收入决算数/其他收入预算数×100%-100%。</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预算编制准确率≤20%，得5分。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预算编制准确率在20%和40%（含）之间，得3分。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预算编制准确率＞40%，得0分。</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无年初预算，但本年新增</w:t>
            </w:r>
            <w:r>
              <w:rPr>
                <w:rFonts w:hint="eastAsia" w:ascii="宋体" w:hAnsi="宋体" w:eastAsia="宋体" w:cs="宋体"/>
                <w:i w:val="0"/>
                <w:color w:val="000000"/>
                <w:sz w:val="20"/>
                <w:szCs w:val="20"/>
                <w:u w:val="none"/>
                <w:lang w:val="en-US" w:eastAsia="zh-CN"/>
              </w:rPr>
              <w:t>3万元</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因年初其他收入预算具有不确定性，而当年市科协拨入补助资金</w:t>
            </w:r>
            <w:r>
              <w:rPr>
                <w:rFonts w:hint="eastAsia" w:ascii="宋体" w:hAnsi="宋体" w:eastAsia="宋体" w:cs="宋体"/>
                <w:i w:val="0"/>
                <w:color w:val="000000"/>
                <w:sz w:val="20"/>
                <w:szCs w:val="20"/>
                <w:u w:val="none"/>
                <w:lang w:val="en-US" w:eastAsia="zh-CN"/>
              </w:rPr>
              <w:t>3万元</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加强年初预算的预估</w:t>
            </w:r>
          </w:p>
        </w:tc>
      </w:tr>
      <w:tr>
        <w:tblPrEx>
          <w:shd w:val="clear" w:color="auto" w:fill="auto"/>
          <w:tblCellMar>
            <w:top w:w="0" w:type="dxa"/>
            <w:left w:w="0" w:type="dxa"/>
            <w:bottom w:w="0" w:type="dxa"/>
            <w:right w:w="0" w:type="dxa"/>
          </w:tblCellMar>
        </w:tblPrEx>
        <w:trPr>
          <w:gridAfter w:val="3"/>
          <w:wAfter w:w="12616" w:type="dxa"/>
          <w:trHeight w:val="1695" w:hRule="atLeast"/>
        </w:trPr>
        <w:tc>
          <w:tcPr>
            <w:tcW w:w="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w:t>
            </w:r>
          </w:p>
        </w:tc>
        <w:tc>
          <w:tcPr>
            <w:tcW w:w="4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预算管理（15分）</w:t>
            </w: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“三公经费”控制率（5分）</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“三公经费”控制率＝（“三公经费”实际支出数/“三公经费”预算安排数×100%，用以反映和考核部门（单位）对“三公经费”的实际控制程度。</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三公经费控制率≤100%，得5分，每增加0.1个百分点扣0.5分，扣完为止。</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当年公务接待支出</w:t>
            </w:r>
            <w:r>
              <w:rPr>
                <w:rFonts w:hint="eastAsia" w:ascii="宋体" w:hAnsi="宋体" w:eastAsia="宋体" w:cs="宋体"/>
                <w:i w:val="0"/>
                <w:color w:val="000000"/>
                <w:sz w:val="20"/>
                <w:szCs w:val="20"/>
                <w:u w:val="none"/>
                <w:lang w:val="en-US" w:eastAsia="zh-CN"/>
              </w:rPr>
              <w:t xml:space="preserve"> 0.35万元，年初预算未按排此项预算</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年初“三公经费”无预算，而当年实际支出</w:t>
            </w:r>
            <w:r>
              <w:rPr>
                <w:rFonts w:hint="eastAsia" w:ascii="宋体" w:hAnsi="宋体" w:eastAsia="宋体" w:cs="宋体"/>
                <w:i w:val="0"/>
                <w:color w:val="000000"/>
                <w:sz w:val="20"/>
                <w:szCs w:val="20"/>
                <w:u w:val="none"/>
                <w:lang w:val="en-US" w:eastAsia="zh-CN"/>
              </w:rPr>
              <w:t>0.35万元</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加强年初预算数的测算。</w:t>
            </w:r>
          </w:p>
        </w:tc>
      </w:tr>
      <w:tr>
        <w:tblPrEx>
          <w:shd w:val="clear" w:color="auto" w:fill="auto"/>
          <w:tblCellMar>
            <w:top w:w="0" w:type="dxa"/>
            <w:left w:w="0" w:type="dxa"/>
            <w:bottom w:w="0" w:type="dxa"/>
            <w:right w:w="0" w:type="dxa"/>
          </w:tblCellMar>
        </w:tblPrEx>
        <w:trPr>
          <w:gridAfter w:val="3"/>
          <w:wAfter w:w="12616" w:type="dxa"/>
          <w:trHeight w:val="3840" w:hRule="atLeast"/>
        </w:trPr>
        <w:tc>
          <w:tcPr>
            <w:tcW w:w="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资金使用合规性（5分）</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部门（单位）资产管理是否规范，用以反映和考核部门（单位）资产管理情况。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1、新增资产配置按预算执行。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2、资产有偿使用、处置按规定程序审批。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3、资产收益及时、足额上缴财务。</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全部符合5分，有1项不符扣2分，扣完为止。</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 符合</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3"/>
          <w:wAfter w:w="12616" w:type="dxa"/>
          <w:trHeight w:val="4420" w:hRule="atLeast"/>
        </w:trPr>
        <w:tc>
          <w:tcPr>
            <w:tcW w:w="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预算管理（15分）</w:t>
            </w: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项目产出（40分）</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部门（单位）使用预算资金是否符合相关的预算财务管理制度的规定，用以反映和考核部门（单位）预算资金的规范运行情况。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1、符合国家财经法规和财务管理制度规定以及有关专项资金管理办法的规定；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2、资金的拨付有完整的审批程序和手续；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3、重大项目开支经过评估论证；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4、符合部门预算批复的用途；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5、不存在截留、挤占、挪用、虚列支出等情况。</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全部符合5分，有1项不符扣2分。</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全部符合</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3"/>
          <w:wAfter w:w="12616" w:type="dxa"/>
          <w:trHeight w:val="1590" w:hRule="atLeast"/>
        </w:trPr>
        <w:tc>
          <w:tcPr>
            <w:tcW w:w="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效果</w:t>
            </w:r>
          </w:p>
        </w:tc>
        <w:tc>
          <w:tcPr>
            <w:tcW w:w="4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履职尽责</w:t>
            </w:r>
            <w:bookmarkStart w:id="0" w:name="_GoBack"/>
            <w:bookmarkEnd w:id="0"/>
            <w:r>
              <w:rPr>
                <w:rFonts w:hint="eastAsia" w:ascii="宋体" w:hAnsi="宋体" w:eastAsia="宋体" w:cs="宋体"/>
                <w:i w:val="0"/>
                <w:color w:val="000000"/>
                <w:kern w:val="0"/>
                <w:sz w:val="20"/>
                <w:szCs w:val="20"/>
                <w:u w:val="none"/>
                <w:lang w:val="en-US" w:eastAsia="zh-CN" w:bidi="ar"/>
              </w:rPr>
              <w:t>（60分）</w:t>
            </w: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项目效益（20分）</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9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1、若为定性指标，根据“三档”原则分别按照指标分值的100-80%（含）、80-50%（含）、50-10%来记分；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cs="宋体"/>
                <w:color w:val="000000"/>
                <w:sz w:val="20"/>
                <w:szCs w:val="20"/>
              </w:rPr>
            </w:pPr>
          </w:p>
          <w:p>
            <w:pPr>
              <w:rPr>
                <w:rFonts w:ascii="宋体" w:cs="宋体"/>
                <w:color w:val="000000"/>
                <w:sz w:val="20"/>
                <w:szCs w:val="20"/>
              </w:rPr>
            </w:pPr>
            <w:r>
              <w:rPr>
                <w:rFonts w:ascii="宋体" w:cs="宋体"/>
                <w:color w:val="000000"/>
                <w:sz w:val="20"/>
                <w:szCs w:val="20"/>
              </w:rPr>
              <w:t>100%</w:t>
            </w:r>
          </w:p>
          <w:p>
            <w:pPr>
              <w:rPr>
                <w:rFonts w:hint="eastAsia" w:ascii="宋体" w:cs="宋体" w:hAnsiTheme="minorHAnsi" w:eastAsiaTheme="minorEastAsia"/>
                <w:color w:val="000000"/>
                <w:kern w:val="2"/>
                <w:sz w:val="20"/>
                <w:szCs w:val="20"/>
                <w:lang w:val="en-US" w:eastAsia="zh-CN" w:bidi="ar-SA"/>
              </w:rPr>
            </w:pP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cs="宋体" w:hAnsiTheme="minorHAnsi" w:eastAsiaTheme="minorEastAsia"/>
                <w:color w:val="000000"/>
                <w:kern w:val="2"/>
                <w:sz w:val="20"/>
                <w:szCs w:val="20"/>
                <w:lang w:val="en-US" w:eastAsia="zh-CN" w:bidi="ar-SA"/>
              </w:rPr>
            </w:pPr>
            <w:r>
              <w:rPr>
                <w:rFonts w:ascii="宋体" w:cs="宋体"/>
                <w:color w:val="000000"/>
                <w:sz w:val="20"/>
                <w:szCs w:val="20"/>
              </w:rPr>
              <w:t>40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3"/>
          <w:wAfter w:w="12616" w:type="dxa"/>
          <w:trHeight w:val="3260" w:hRule="atLeast"/>
        </w:trPr>
        <w:tc>
          <w:tcPr>
            <w:tcW w:w="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9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ascii="宋体" w:hAnsi="宋体" w:eastAsia="宋体" w:cs="宋体"/>
                <w:i w:val="0"/>
                <w:color w:val="000000"/>
                <w:sz w:val="20"/>
                <w:szCs w:val="20"/>
                <w:u w:val="none"/>
                <w:lang w:val="en-US" w:eastAsia="zh-CN"/>
              </w:rPr>
            </w:pP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cs="宋体"/>
                <w:color w:val="000000"/>
                <w:sz w:val="20"/>
                <w:szCs w:val="20"/>
              </w:rPr>
            </w:pPr>
          </w:p>
          <w:p>
            <w:pPr>
              <w:rPr>
                <w:rFonts w:ascii="宋体" w:cs="宋体"/>
                <w:color w:val="000000"/>
                <w:sz w:val="20"/>
                <w:szCs w:val="20"/>
              </w:rPr>
            </w:pPr>
            <w:r>
              <w:rPr>
                <w:rFonts w:ascii="宋体" w:cs="宋体"/>
                <w:color w:val="000000"/>
                <w:sz w:val="20"/>
                <w:szCs w:val="20"/>
              </w:rPr>
              <w:t>100%</w:t>
            </w:r>
          </w:p>
          <w:p>
            <w:pPr>
              <w:rPr>
                <w:rFonts w:hint="eastAsia" w:ascii="宋体" w:cs="宋体" w:hAnsiTheme="minorHAnsi" w:eastAsiaTheme="minorEastAsia"/>
                <w:color w:val="000000"/>
                <w:kern w:val="2"/>
                <w:sz w:val="20"/>
                <w:szCs w:val="20"/>
                <w:lang w:val="en-US" w:eastAsia="zh-CN" w:bidi="ar-SA"/>
              </w:rPr>
            </w:pP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cs="宋体" w:hAnsiTheme="minorHAnsi" w:eastAsiaTheme="minorEastAsia"/>
                <w:color w:val="000000"/>
                <w:kern w:val="2"/>
                <w:sz w:val="20"/>
                <w:szCs w:val="20"/>
                <w:lang w:val="en-US" w:eastAsia="zh-CN" w:bidi="ar-SA"/>
              </w:rPr>
            </w:pPr>
            <w:r>
              <w:rPr>
                <w:rFonts w:ascii="宋体" w:cs="宋体"/>
                <w:color w:val="000000"/>
                <w:sz w:val="20"/>
                <w:szCs w:val="20"/>
              </w:rPr>
              <w:t>20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3"/>
          <w:wAfter w:w="12616" w:type="dxa"/>
          <w:trHeight w:val="1650" w:hRule="atLeast"/>
        </w:trPr>
        <w:tc>
          <w:tcPr>
            <w:tcW w:w="9464" w:type="dxa"/>
            <w:gridSpan w:val="2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1、“项目产出”和“项目效果”直接细化成部门年初绩效目标中的指标，并根据重要程度赋权。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ind w:firstLine="643" w:firstLineChars="200"/>
        <w:jc w:val="both"/>
        <w:textAlignment w:val="auto"/>
        <w:outlineLvl w:val="9"/>
        <w:rPr>
          <w:rFonts w:hint="eastAsia" w:ascii="楷体_GB2312" w:hAnsi="楷体_GB2312" w:eastAsia="楷体_GB2312" w:cs="楷体_GB2312"/>
          <w:b/>
          <w:bCs/>
          <w:spacing w:val="0"/>
          <w:kern w:val="0"/>
          <w:sz w:val="32"/>
          <w:szCs w:val="32"/>
          <w:lang w:val="en-US" w:eastAsia="zh-CN" w:bidi="ar"/>
        </w:rPr>
      </w:pPr>
      <w:r>
        <w:rPr>
          <w:rFonts w:hint="eastAsia" w:ascii="楷体_GB2312" w:hAnsi="楷体_GB2312" w:eastAsia="楷体_GB2312" w:cs="楷体_GB2312"/>
          <w:b/>
          <w:bCs/>
          <w:spacing w:val="0"/>
          <w:kern w:val="0"/>
          <w:sz w:val="32"/>
          <w:szCs w:val="32"/>
          <w:lang w:val="en-US" w:eastAsia="zh-CN" w:bidi="ar"/>
        </w:rPr>
        <w:t>五、其他重要事项的情况说明</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ind w:firstLine="643" w:firstLineChars="200"/>
        <w:jc w:val="both"/>
        <w:textAlignment w:val="auto"/>
        <w:outlineLvl w:val="9"/>
        <w:rPr>
          <w:rFonts w:hint="eastAsia" w:ascii="仿宋_GB2312" w:hAnsi="宋体" w:eastAsia="仿宋_GB2312" w:cs="仿宋_GB2312"/>
          <w:i w:val="0"/>
          <w:iCs w:val="0"/>
          <w:caps w:val="0"/>
          <w:color w:val="000000"/>
          <w:spacing w:val="0"/>
          <w:sz w:val="32"/>
          <w:szCs w:val="32"/>
          <w:shd w:val="clear" w:fill="FFFFFF"/>
        </w:rPr>
      </w:pPr>
      <w:r>
        <w:rPr>
          <w:rFonts w:hint="eastAsia" w:ascii="仿宋_GB2312" w:hAnsi="仿宋_GB2312" w:eastAsia="仿宋_GB2312" w:cs="仿宋_GB2312"/>
          <w:b/>
          <w:bCs/>
          <w:spacing w:val="0"/>
          <w:kern w:val="0"/>
          <w:sz w:val="32"/>
          <w:szCs w:val="32"/>
          <w:lang w:val="en-US" w:eastAsia="zh-CN" w:bidi="ar"/>
        </w:rPr>
        <w:t>（一）机关运行经费支出情况。</w:t>
      </w:r>
      <w:r>
        <w:rPr>
          <w:rFonts w:ascii="仿宋_GB2312" w:hAnsi="宋体" w:eastAsia="仿宋_GB2312" w:cs="仿宋_GB2312"/>
          <w:i w:val="0"/>
          <w:iCs w:val="0"/>
          <w:caps w:val="0"/>
          <w:color w:val="000000"/>
          <w:spacing w:val="0"/>
          <w:sz w:val="32"/>
          <w:szCs w:val="32"/>
          <w:shd w:val="clear" w:fill="FFFFFF"/>
        </w:rPr>
        <w:t>20</w:t>
      </w:r>
      <w:r>
        <w:rPr>
          <w:rFonts w:hint="eastAsia" w:ascii="仿宋_GB2312" w:hAnsi="宋体" w:eastAsia="仿宋_GB2312" w:cs="仿宋_GB2312"/>
          <w:i w:val="0"/>
          <w:iCs w:val="0"/>
          <w:caps w:val="0"/>
          <w:color w:val="000000"/>
          <w:spacing w:val="0"/>
          <w:sz w:val="32"/>
          <w:szCs w:val="32"/>
          <w:shd w:val="clear" w:fill="FFFFFF"/>
          <w:lang w:val="en-US" w:eastAsia="zh-CN"/>
        </w:rPr>
        <w:t>20</w:t>
      </w:r>
      <w:r>
        <w:rPr>
          <w:rFonts w:hint="eastAsia" w:ascii="仿宋_GB2312" w:hAnsi="宋体" w:eastAsia="仿宋_GB2312" w:cs="仿宋_GB2312"/>
          <w:i w:val="0"/>
          <w:iCs w:val="0"/>
          <w:caps w:val="0"/>
          <w:color w:val="000000"/>
          <w:spacing w:val="0"/>
          <w:sz w:val="32"/>
          <w:szCs w:val="32"/>
          <w:shd w:val="clear" w:fill="FFFFFF"/>
        </w:rPr>
        <w:t>年本单位运行经费支出</w:t>
      </w:r>
      <w:r>
        <w:rPr>
          <w:rFonts w:hint="eastAsia" w:ascii="仿宋_GB2312" w:hAnsi="宋体" w:eastAsia="仿宋_GB2312" w:cs="仿宋_GB2312"/>
          <w:i w:val="0"/>
          <w:iCs w:val="0"/>
          <w:caps w:val="0"/>
          <w:color w:val="000000"/>
          <w:spacing w:val="0"/>
          <w:sz w:val="32"/>
          <w:szCs w:val="32"/>
          <w:shd w:val="clear" w:fill="FFFFFF"/>
          <w:lang w:val="en-US" w:eastAsia="zh-CN"/>
        </w:rPr>
        <w:t>17.41</w:t>
      </w:r>
      <w:r>
        <w:rPr>
          <w:rFonts w:hint="eastAsia" w:ascii="仿宋_GB2312" w:hAnsi="宋体" w:eastAsia="仿宋_GB2312" w:cs="仿宋_GB2312"/>
          <w:i w:val="0"/>
          <w:iCs w:val="0"/>
          <w:caps w:val="0"/>
          <w:color w:val="000000"/>
          <w:spacing w:val="0"/>
          <w:sz w:val="32"/>
          <w:szCs w:val="32"/>
          <w:shd w:val="clear" w:fill="FFFFFF"/>
        </w:rPr>
        <w:t>万元，用于维持单位日常运转所必需的公用支出，比上年</w:t>
      </w:r>
      <w:r>
        <w:rPr>
          <w:rFonts w:hint="eastAsia" w:ascii="仿宋_GB2312" w:hAnsi="宋体" w:eastAsia="仿宋_GB2312" w:cs="仿宋_GB2312"/>
          <w:i w:val="0"/>
          <w:iCs w:val="0"/>
          <w:caps w:val="0"/>
          <w:color w:val="000000"/>
          <w:spacing w:val="0"/>
          <w:sz w:val="32"/>
          <w:szCs w:val="32"/>
          <w:shd w:val="clear" w:fill="FFFFFF"/>
          <w:lang w:val="en-US" w:eastAsia="zh-CN"/>
        </w:rPr>
        <w:t>减少28.3</w:t>
      </w:r>
      <w:r>
        <w:rPr>
          <w:rFonts w:hint="eastAsia" w:ascii="仿宋_GB2312" w:hAnsi="宋体" w:eastAsia="仿宋_GB2312" w:cs="仿宋_GB2312"/>
          <w:i w:val="0"/>
          <w:iCs w:val="0"/>
          <w:caps w:val="0"/>
          <w:color w:val="000000"/>
          <w:spacing w:val="0"/>
          <w:sz w:val="32"/>
          <w:szCs w:val="32"/>
          <w:shd w:val="clear" w:fill="FFFFFF"/>
        </w:rPr>
        <w:t>万元，主要原因是</w:t>
      </w:r>
      <w:r>
        <w:rPr>
          <w:rFonts w:hint="eastAsia" w:ascii="仿宋_GB2312" w:hAnsi="宋体" w:eastAsia="仿宋_GB2312" w:cs="仿宋_GB2312"/>
          <w:i w:val="0"/>
          <w:iCs w:val="0"/>
          <w:caps w:val="0"/>
          <w:color w:val="000000"/>
          <w:spacing w:val="0"/>
          <w:sz w:val="32"/>
          <w:szCs w:val="32"/>
          <w:shd w:val="clear" w:fill="FFFFFF"/>
          <w:lang w:eastAsia="zh-CN"/>
        </w:rPr>
        <w:t>上</w:t>
      </w:r>
      <w:r>
        <w:rPr>
          <w:rFonts w:hint="eastAsia" w:ascii="仿宋_GB2312" w:hAnsi="宋体" w:eastAsia="仿宋_GB2312" w:cs="仿宋_GB2312"/>
          <w:i w:val="0"/>
          <w:iCs w:val="0"/>
          <w:caps w:val="0"/>
          <w:color w:val="000000"/>
          <w:spacing w:val="0"/>
          <w:sz w:val="32"/>
          <w:szCs w:val="32"/>
          <w:shd w:val="clear" w:fill="FFFFFF"/>
        </w:rPr>
        <w:t>年将</w:t>
      </w:r>
      <w:r>
        <w:rPr>
          <w:rFonts w:hint="eastAsia" w:ascii="仿宋_GB2312" w:hAnsi="宋体" w:eastAsia="仿宋_GB2312" w:cs="仿宋_GB2312"/>
          <w:i w:val="0"/>
          <w:iCs w:val="0"/>
          <w:caps w:val="0"/>
          <w:color w:val="000000"/>
          <w:spacing w:val="0"/>
          <w:sz w:val="32"/>
          <w:szCs w:val="32"/>
          <w:shd w:val="clear" w:fill="FFFFFF"/>
          <w:lang w:val="en-US" w:eastAsia="zh-CN"/>
        </w:rPr>
        <w:t>部分科普宣传支出列入了</w:t>
      </w:r>
      <w:r>
        <w:rPr>
          <w:rFonts w:hint="eastAsia" w:ascii="仿宋_GB2312" w:hAnsi="宋体" w:eastAsia="仿宋_GB2312" w:cs="仿宋_GB2312"/>
          <w:i w:val="0"/>
          <w:iCs w:val="0"/>
          <w:caps w:val="0"/>
          <w:color w:val="000000"/>
          <w:spacing w:val="0"/>
          <w:sz w:val="32"/>
          <w:szCs w:val="32"/>
          <w:shd w:val="clear" w:fill="FFFFFF"/>
        </w:rPr>
        <w:t>基本支出所形成的。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ind w:firstLine="643" w:firstLineChars="200"/>
        <w:jc w:val="both"/>
        <w:textAlignment w:val="auto"/>
        <w:outlineLvl w:val="9"/>
        <w:rPr>
          <w:rFonts w:hint="eastAsia" w:ascii="仿宋_GB2312" w:hAnsi="仿宋_GB2312" w:eastAsia="仿宋_GB2312" w:cs="仿宋_GB2312"/>
          <w:spacing w:val="0"/>
          <w:kern w:val="0"/>
          <w:sz w:val="32"/>
          <w:szCs w:val="32"/>
          <w:lang w:val="en-US" w:eastAsia="zh-CN" w:bidi="ar"/>
        </w:rPr>
      </w:pPr>
      <w:r>
        <w:rPr>
          <w:rFonts w:hint="eastAsia" w:ascii="仿宋_GB2312" w:hAnsi="仿宋_GB2312" w:eastAsia="仿宋_GB2312" w:cs="仿宋_GB2312"/>
          <w:b/>
          <w:bCs/>
          <w:spacing w:val="0"/>
          <w:kern w:val="0"/>
          <w:sz w:val="32"/>
          <w:szCs w:val="32"/>
          <w:lang w:val="en-US" w:eastAsia="zh-CN" w:bidi="ar"/>
        </w:rPr>
        <w:t>（二）政府采购支出情况。</w:t>
      </w:r>
      <w:r>
        <w:rPr>
          <w:rFonts w:hint="eastAsia" w:ascii="仿宋_GB2312" w:hAnsi="仿宋_GB2312" w:eastAsia="仿宋_GB2312" w:cs="仿宋_GB2312"/>
          <w:spacing w:val="0"/>
          <w:sz w:val="32"/>
          <w:szCs w:val="32"/>
        </w:rPr>
        <w:t>本部门</w:t>
      </w:r>
      <w:r>
        <w:rPr>
          <w:rFonts w:hint="eastAsia" w:ascii="仿宋_GB2312" w:hAnsi="仿宋_GB2312" w:eastAsia="仿宋_GB2312" w:cs="仿宋_GB2312"/>
          <w:spacing w:val="0"/>
          <w:sz w:val="32"/>
          <w:szCs w:val="32"/>
          <w:lang w:val="en-US" w:eastAsia="zh-CN"/>
        </w:rPr>
        <w:t>2020年</w:t>
      </w:r>
      <w:r>
        <w:rPr>
          <w:rFonts w:hint="eastAsia" w:ascii="仿宋_GB2312" w:hAnsi="仿宋_GB2312" w:eastAsia="仿宋_GB2312" w:cs="仿宋_GB2312"/>
          <w:spacing w:val="0"/>
          <w:sz w:val="32"/>
          <w:szCs w:val="32"/>
        </w:rPr>
        <w:t>无政府</w:t>
      </w:r>
      <w:r>
        <w:rPr>
          <w:rFonts w:hint="eastAsia" w:ascii="仿宋_GB2312" w:hAnsi="仿宋_GB2312" w:eastAsia="仿宋_GB2312" w:cs="仿宋_GB2312"/>
          <w:spacing w:val="0"/>
          <w:sz w:val="32"/>
          <w:szCs w:val="32"/>
          <w:lang w:eastAsia="zh-CN"/>
        </w:rPr>
        <w:t>采购支出</w:t>
      </w:r>
      <w:r>
        <w:rPr>
          <w:rFonts w:hint="eastAsia" w:ascii="仿宋_GB2312" w:hAnsi="仿宋_GB2312" w:eastAsia="仿宋_GB2312" w:cs="仿宋_GB2312"/>
          <w:spacing w:val="0"/>
          <w:sz w:val="32"/>
          <w:szCs w:val="32"/>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ind w:firstLine="643" w:firstLineChars="200"/>
        <w:jc w:val="both"/>
        <w:textAlignment w:val="auto"/>
        <w:outlineLvl w:val="9"/>
        <w:rPr>
          <w:rFonts w:hint="eastAsia"/>
          <w:spacing w:val="0"/>
          <w:lang w:val="en-US" w:eastAsia="zh-CN"/>
        </w:rPr>
      </w:pPr>
      <w:r>
        <w:rPr>
          <w:rFonts w:hint="eastAsia" w:ascii="仿宋_GB2312" w:hAnsi="仿宋_GB2312" w:eastAsia="仿宋_GB2312" w:cs="仿宋_GB2312"/>
          <w:b/>
          <w:bCs/>
          <w:spacing w:val="0"/>
          <w:kern w:val="0"/>
          <w:sz w:val="32"/>
          <w:szCs w:val="32"/>
          <w:lang w:val="en-US" w:eastAsia="zh-CN" w:bidi="ar"/>
        </w:rPr>
        <w:t>（三）国有资产占用及购置情况说明。</w:t>
      </w:r>
      <w:r>
        <w:rPr>
          <w:rFonts w:ascii="仿宋_GB2312" w:hAnsi="宋体" w:eastAsia="仿宋_GB2312" w:cs="仿宋_GB2312"/>
          <w:i w:val="0"/>
          <w:iCs w:val="0"/>
          <w:caps w:val="0"/>
          <w:color w:val="000000"/>
          <w:spacing w:val="0"/>
          <w:sz w:val="32"/>
          <w:szCs w:val="32"/>
          <w:shd w:val="clear" w:fill="FFFFFF"/>
        </w:rPr>
        <w:t>截至</w:t>
      </w:r>
      <w:r>
        <w:rPr>
          <w:rFonts w:hint="eastAsia" w:ascii="仿宋_GB2312" w:hAnsi="宋体" w:eastAsia="仿宋_GB2312" w:cs="仿宋_GB2312"/>
          <w:i w:val="0"/>
          <w:iCs w:val="0"/>
          <w:caps w:val="0"/>
          <w:color w:val="000000"/>
          <w:spacing w:val="0"/>
          <w:sz w:val="32"/>
          <w:szCs w:val="32"/>
          <w:shd w:val="clear" w:fill="FFFFFF"/>
          <w:lang w:val="en-US" w:eastAsia="zh-CN"/>
        </w:rPr>
        <w:t>2020</w:t>
      </w:r>
      <w:r>
        <w:rPr>
          <w:rFonts w:ascii="仿宋_GB2312" w:hAnsi="宋体" w:eastAsia="仿宋_GB2312" w:cs="仿宋_GB2312"/>
          <w:i w:val="0"/>
          <w:iCs w:val="0"/>
          <w:caps w:val="0"/>
          <w:color w:val="000000"/>
          <w:spacing w:val="0"/>
          <w:sz w:val="32"/>
          <w:szCs w:val="32"/>
          <w:shd w:val="clear" w:fill="FFFFFF"/>
        </w:rPr>
        <w:t>年末，本部门所属单位共有车辆0辆；50万元以上的通用设备0台（套）；单价100万元以上的通用设备0台（套）。2018年当年购置车辆0辆；购置单价50万元以上的设备0台（套）；购置单价100万元以上的通用设备0台（套）。</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jc w:val="center"/>
        <w:textAlignment w:val="auto"/>
        <w:outlineLvl w:val="9"/>
        <w:rPr>
          <w:rFonts w:hint="eastAsia" w:ascii="黑体" w:hAnsi="黑体" w:eastAsia="黑体" w:cs="黑体"/>
          <w:spacing w:val="0"/>
          <w:kern w:val="0"/>
          <w:sz w:val="32"/>
          <w:szCs w:val="32"/>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jc w:val="center"/>
        <w:textAlignment w:val="auto"/>
        <w:outlineLvl w:val="9"/>
        <w:rPr>
          <w:rFonts w:hint="eastAsia" w:ascii="黑体" w:hAnsi="黑体" w:eastAsia="黑体" w:cs="黑体"/>
          <w:spacing w:val="0"/>
          <w:kern w:val="0"/>
          <w:sz w:val="32"/>
          <w:szCs w:val="32"/>
          <w:lang w:val="en-US" w:eastAsia="zh-CN" w:bidi="ar"/>
        </w:rPr>
      </w:pPr>
      <w:r>
        <w:rPr>
          <w:rFonts w:hint="eastAsia" w:ascii="黑体" w:hAnsi="黑体" w:eastAsia="黑体" w:cs="黑体"/>
          <w:spacing w:val="0"/>
          <w:kern w:val="0"/>
          <w:sz w:val="32"/>
          <w:szCs w:val="32"/>
          <w:lang w:val="en-US" w:eastAsia="zh-CN" w:bidi="ar"/>
        </w:rPr>
        <w:t>第四部分  专业名词解释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pacing w:val="0"/>
          <w:kern w:val="0"/>
          <w:sz w:val="32"/>
          <w:szCs w:val="32"/>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pacing w:val="0"/>
          <w:kern w:val="0"/>
          <w:sz w:val="32"/>
          <w:szCs w:val="32"/>
          <w:lang w:val="en-US" w:eastAsia="zh-CN" w:bidi="ar"/>
        </w:rPr>
      </w:pPr>
      <w:r>
        <w:rPr>
          <w:rFonts w:hint="eastAsia" w:ascii="仿宋_GB2312" w:hAnsi="仿宋_GB2312" w:eastAsia="仿宋_GB2312" w:cs="仿宋_GB2312"/>
          <w:spacing w:val="0"/>
          <w:kern w:val="0"/>
          <w:sz w:val="32"/>
          <w:szCs w:val="32"/>
          <w:lang w:val="en-US" w:eastAsia="zh-CN" w:bidi="ar"/>
        </w:rPr>
        <w:t>1.基本支出：指为保障机构正常运转、完成日常工作任务而发生的各项支出。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pacing w:val="0"/>
          <w:kern w:val="0"/>
          <w:sz w:val="32"/>
          <w:szCs w:val="32"/>
          <w:lang w:val="en-US" w:eastAsia="zh-CN" w:bidi="ar"/>
        </w:rPr>
      </w:pPr>
      <w:r>
        <w:rPr>
          <w:rFonts w:hint="eastAsia" w:ascii="仿宋_GB2312" w:hAnsi="仿宋_GB2312" w:eastAsia="仿宋_GB2312" w:cs="仿宋_GB2312"/>
          <w:spacing w:val="0"/>
          <w:kern w:val="0"/>
          <w:sz w:val="32"/>
          <w:szCs w:val="32"/>
          <w:lang w:val="en-US" w:eastAsia="zh-CN" w:bidi="ar"/>
        </w:rPr>
        <w:t>2.项目支出：指单位为完成特定的行政工作任务或事业发展目标所发生的各项支出。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pacing w:val="0"/>
          <w:kern w:val="0"/>
          <w:sz w:val="32"/>
          <w:szCs w:val="32"/>
          <w:lang w:val="en-US" w:eastAsia="zh-CN" w:bidi="ar"/>
        </w:rPr>
      </w:pPr>
      <w:r>
        <w:rPr>
          <w:rFonts w:hint="eastAsia" w:ascii="仿宋_GB2312" w:hAnsi="仿宋_GB2312" w:eastAsia="仿宋_GB2312" w:cs="仿宋_GB2312"/>
          <w:spacing w:val="0"/>
          <w:kern w:val="0"/>
          <w:sz w:val="32"/>
          <w:szCs w:val="32"/>
          <w:lang w:val="en-US" w:eastAsia="zh-CN" w:bidi="ar"/>
        </w:rPr>
        <w:t>3.“三公”经费：指部门使用一般公共预算财政拨款安排的因公出国（境）费、公务用车购置及运行费和公务接待费支出。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pacing w:val="0"/>
          <w:kern w:val="0"/>
          <w:sz w:val="32"/>
          <w:szCs w:val="32"/>
          <w:lang w:val="en-US" w:eastAsia="zh-CN" w:bidi="ar"/>
        </w:rPr>
      </w:pPr>
      <w:r>
        <w:rPr>
          <w:rFonts w:hint="eastAsia" w:ascii="仿宋_GB2312" w:hAnsi="仿宋_GB2312" w:eastAsia="仿宋_GB2312" w:cs="仿宋_GB2312"/>
          <w:spacing w:val="0"/>
          <w:kern w:val="0"/>
          <w:sz w:val="32"/>
          <w:szCs w:val="32"/>
          <w:lang w:val="en-US" w:eastAsia="zh-CN" w:bidi="ar"/>
        </w:rPr>
        <w:t>4.财政拨款收入：指本级财政当年拨付的资金。</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spacing w:val="0"/>
          <w:kern w:val="0"/>
          <w:sz w:val="32"/>
          <w:szCs w:val="32"/>
          <w:lang w:val="en-US" w:eastAsia="zh-CN" w:bidi="ar"/>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OTdiNWNlMWVlNjgzNjAzNzdlMzIyN2M3M2Y1MzIifQ=="/>
  </w:docVars>
  <w:rsids>
    <w:rsidRoot w:val="7C5D1D72"/>
    <w:rsid w:val="001507EA"/>
    <w:rsid w:val="005174AC"/>
    <w:rsid w:val="00BA5169"/>
    <w:rsid w:val="01257DDA"/>
    <w:rsid w:val="017F49BE"/>
    <w:rsid w:val="025B0B07"/>
    <w:rsid w:val="02CD757C"/>
    <w:rsid w:val="03391E38"/>
    <w:rsid w:val="036B7A2F"/>
    <w:rsid w:val="046063D3"/>
    <w:rsid w:val="04DC2960"/>
    <w:rsid w:val="05194C10"/>
    <w:rsid w:val="05CD1092"/>
    <w:rsid w:val="05EF122C"/>
    <w:rsid w:val="068F1F19"/>
    <w:rsid w:val="06BA0424"/>
    <w:rsid w:val="086F56BE"/>
    <w:rsid w:val="08815682"/>
    <w:rsid w:val="090B2132"/>
    <w:rsid w:val="095D5956"/>
    <w:rsid w:val="09BE11B4"/>
    <w:rsid w:val="0A025689"/>
    <w:rsid w:val="0B823BCE"/>
    <w:rsid w:val="0BF3277C"/>
    <w:rsid w:val="0CA044D6"/>
    <w:rsid w:val="0D0E67D9"/>
    <w:rsid w:val="0D321C3F"/>
    <w:rsid w:val="0D3239D6"/>
    <w:rsid w:val="0E752DA9"/>
    <w:rsid w:val="0F1A694A"/>
    <w:rsid w:val="0FAD2CAA"/>
    <w:rsid w:val="104E6D46"/>
    <w:rsid w:val="112957E7"/>
    <w:rsid w:val="12824D51"/>
    <w:rsid w:val="12E94936"/>
    <w:rsid w:val="133E61EF"/>
    <w:rsid w:val="136B5C3A"/>
    <w:rsid w:val="136D4B39"/>
    <w:rsid w:val="14AB7CFC"/>
    <w:rsid w:val="152353B9"/>
    <w:rsid w:val="169D4B82"/>
    <w:rsid w:val="180E0310"/>
    <w:rsid w:val="180F5D63"/>
    <w:rsid w:val="188E76C3"/>
    <w:rsid w:val="1A921A0A"/>
    <w:rsid w:val="1C674213"/>
    <w:rsid w:val="1D1E569E"/>
    <w:rsid w:val="1EBC7BD5"/>
    <w:rsid w:val="206969D3"/>
    <w:rsid w:val="20CD5682"/>
    <w:rsid w:val="21C63505"/>
    <w:rsid w:val="21D35583"/>
    <w:rsid w:val="227404B1"/>
    <w:rsid w:val="22A36211"/>
    <w:rsid w:val="2322484B"/>
    <w:rsid w:val="234F15B7"/>
    <w:rsid w:val="23F44E0F"/>
    <w:rsid w:val="24695C48"/>
    <w:rsid w:val="249A0CE1"/>
    <w:rsid w:val="25235262"/>
    <w:rsid w:val="26406DE6"/>
    <w:rsid w:val="279D5FD1"/>
    <w:rsid w:val="27AD77C0"/>
    <w:rsid w:val="287C1D82"/>
    <w:rsid w:val="28E77E0A"/>
    <w:rsid w:val="28F937A5"/>
    <w:rsid w:val="293F2663"/>
    <w:rsid w:val="29400A9D"/>
    <w:rsid w:val="298D3C7C"/>
    <w:rsid w:val="2A281CCA"/>
    <w:rsid w:val="2B8C0131"/>
    <w:rsid w:val="2BDE7D87"/>
    <w:rsid w:val="2C176874"/>
    <w:rsid w:val="2D4505BF"/>
    <w:rsid w:val="2D5E3253"/>
    <w:rsid w:val="2D844526"/>
    <w:rsid w:val="2DEE0948"/>
    <w:rsid w:val="2E5270F9"/>
    <w:rsid w:val="30714421"/>
    <w:rsid w:val="3075429F"/>
    <w:rsid w:val="309B697E"/>
    <w:rsid w:val="31A3571E"/>
    <w:rsid w:val="31B17087"/>
    <w:rsid w:val="321839F7"/>
    <w:rsid w:val="3281367B"/>
    <w:rsid w:val="331502A5"/>
    <w:rsid w:val="332D2F86"/>
    <w:rsid w:val="342A1FED"/>
    <w:rsid w:val="347F164B"/>
    <w:rsid w:val="34FE7347"/>
    <w:rsid w:val="35585D62"/>
    <w:rsid w:val="35CB0616"/>
    <w:rsid w:val="360E371E"/>
    <w:rsid w:val="365423FD"/>
    <w:rsid w:val="37141057"/>
    <w:rsid w:val="372877DA"/>
    <w:rsid w:val="37D52967"/>
    <w:rsid w:val="3874725B"/>
    <w:rsid w:val="38BE488D"/>
    <w:rsid w:val="39340D74"/>
    <w:rsid w:val="39A77CB4"/>
    <w:rsid w:val="3A682C70"/>
    <w:rsid w:val="3B85226F"/>
    <w:rsid w:val="3BB07E84"/>
    <w:rsid w:val="3C8A50E2"/>
    <w:rsid w:val="3D022418"/>
    <w:rsid w:val="3D030560"/>
    <w:rsid w:val="3DE2418D"/>
    <w:rsid w:val="3ED20604"/>
    <w:rsid w:val="3F111687"/>
    <w:rsid w:val="3F320B3A"/>
    <w:rsid w:val="3F5256A8"/>
    <w:rsid w:val="3F760BD6"/>
    <w:rsid w:val="3FF24A11"/>
    <w:rsid w:val="40173DBC"/>
    <w:rsid w:val="40333D6E"/>
    <w:rsid w:val="416C5E41"/>
    <w:rsid w:val="41A129A6"/>
    <w:rsid w:val="41DE6D8F"/>
    <w:rsid w:val="420A66F5"/>
    <w:rsid w:val="425902B9"/>
    <w:rsid w:val="42CB5A14"/>
    <w:rsid w:val="43026447"/>
    <w:rsid w:val="43A54067"/>
    <w:rsid w:val="44185071"/>
    <w:rsid w:val="446A77C7"/>
    <w:rsid w:val="46A4431F"/>
    <w:rsid w:val="46F522FD"/>
    <w:rsid w:val="47133199"/>
    <w:rsid w:val="47532640"/>
    <w:rsid w:val="48612B46"/>
    <w:rsid w:val="48E84BE2"/>
    <w:rsid w:val="493F2FF6"/>
    <w:rsid w:val="4A45604E"/>
    <w:rsid w:val="4AE445A0"/>
    <w:rsid w:val="4B2141A2"/>
    <w:rsid w:val="4B9B7E24"/>
    <w:rsid w:val="4BA51E49"/>
    <w:rsid w:val="4C2110A0"/>
    <w:rsid w:val="4CB37CEE"/>
    <w:rsid w:val="4CFF3167"/>
    <w:rsid w:val="4D034DAF"/>
    <w:rsid w:val="4DB1337B"/>
    <w:rsid w:val="501A4192"/>
    <w:rsid w:val="508669F0"/>
    <w:rsid w:val="514C73FA"/>
    <w:rsid w:val="51B03FFD"/>
    <w:rsid w:val="51CB087C"/>
    <w:rsid w:val="52B71C9F"/>
    <w:rsid w:val="52BB78A7"/>
    <w:rsid w:val="53A64A06"/>
    <w:rsid w:val="54287C6C"/>
    <w:rsid w:val="54780E7B"/>
    <w:rsid w:val="54791C7A"/>
    <w:rsid w:val="54AB74B6"/>
    <w:rsid w:val="55AF5A9E"/>
    <w:rsid w:val="55CE7592"/>
    <w:rsid w:val="560E4041"/>
    <w:rsid w:val="566825CC"/>
    <w:rsid w:val="57382FF1"/>
    <w:rsid w:val="57CF7BD0"/>
    <w:rsid w:val="58114390"/>
    <w:rsid w:val="590A22F2"/>
    <w:rsid w:val="59DA50C6"/>
    <w:rsid w:val="5A1C08F6"/>
    <w:rsid w:val="5A930952"/>
    <w:rsid w:val="5C5057B9"/>
    <w:rsid w:val="5D437D2E"/>
    <w:rsid w:val="5D9B2989"/>
    <w:rsid w:val="5D9B58E5"/>
    <w:rsid w:val="5DD40546"/>
    <w:rsid w:val="5E605BBD"/>
    <w:rsid w:val="5ECC743B"/>
    <w:rsid w:val="5F49368C"/>
    <w:rsid w:val="603B0596"/>
    <w:rsid w:val="60A20EF4"/>
    <w:rsid w:val="61745FC1"/>
    <w:rsid w:val="61906697"/>
    <w:rsid w:val="61A84491"/>
    <w:rsid w:val="61D81265"/>
    <w:rsid w:val="61EB4DB4"/>
    <w:rsid w:val="633F71F4"/>
    <w:rsid w:val="63A7776D"/>
    <w:rsid w:val="64D86177"/>
    <w:rsid w:val="65DC556A"/>
    <w:rsid w:val="66261EE3"/>
    <w:rsid w:val="66633175"/>
    <w:rsid w:val="669D0A5F"/>
    <w:rsid w:val="671B1725"/>
    <w:rsid w:val="672B02F1"/>
    <w:rsid w:val="67DC0A03"/>
    <w:rsid w:val="6901211F"/>
    <w:rsid w:val="69950145"/>
    <w:rsid w:val="6A7567D7"/>
    <w:rsid w:val="6B323762"/>
    <w:rsid w:val="6B5F5140"/>
    <w:rsid w:val="6B8A3D0E"/>
    <w:rsid w:val="6BAC53E8"/>
    <w:rsid w:val="6C50691E"/>
    <w:rsid w:val="6DB561BE"/>
    <w:rsid w:val="6F662168"/>
    <w:rsid w:val="707031E9"/>
    <w:rsid w:val="70CE15AA"/>
    <w:rsid w:val="716501F1"/>
    <w:rsid w:val="716A7665"/>
    <w:rsid w:val="7202598A"/>
    <w:rsid w:val="725054F3"/>
    <w:rsid w:val="726026CC"/>
    <w:rsid w:val="72944700"/>
    <w:rsid w:val="738C598F"/>
    <w:rsid w:val="740526D8"/>
    <w:rsid w:val="751B3EAD"/>
    <w:rsid w:val="7539539D"/>
    <w:rsid w:val="75B30A0C"/>
    <w:rsid w:val="75C356FC"/>
    <w:rsid w:val="75D2624F"/>
    <w:rsid w:val="764F4F89"/>
    <w:rsid w:val="76AE0D13"/>
    <w:rsid w:val="76B751EE"/>
    <w:rsid w:val="76D64F73"/>
    <w:rsid w:val="771A39E8"/>
    <w:rsid w:val="776C1F07"/>
    <w:rsid w:val="78530F51"/>
    <w:rsid w:val="797E3F97"/>
    <w:rsid w:val="79D3262E"/>
    <w:rsid w:val="7A797BB3"/>
    <w:rsid w:val="7ACF4767"/>
    <w:rsid w:val="7B2F0E48"/>
    <w:rsid w:val="7BEF058D"/>
    <w:rsid w:val="7C315985"/>
    <w:rsid w:val="7C46787A"/>
    <w:rsid w:val="7C5D1D72"/>
    <w:rsid w:val="7D3F23E9"/>
    <w:rsid w:val="7E1959C6"/>
    <w:rsid w:val="7E284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1"/>
    <w:basedOn w:val="7"/>
    <w:qFormat/>
    <w:uiPriority w:val="0"/>
    <w:rPr>
      <w:rFonts w:hint="default" w:ascii="Arial" w:hAnsi="Arial" w:cs="Arial"/>
      <w:color w:val="000000"/>
      <w:sz w:val="18"/>
      <w:szCs w:val="18"/>
      <w:u w:val="none"/>
    </w:rPr>
  </w:style>
  <w:style w:type="character" w:customStyle="1" w:styleId="9">
    <w:name w:val="font01"/>
    <w:basedOn w:val="7"/>
    <w:qFormat/>
    <w:uiPriority w:val="0"/>
    <w:rPr>
      <w:rFonts w:hint="eastAsia" w:ascii="宋体" w:hAnsi="宋体" w:eastAsia="宋体" w:cs="宋体"/>
      <w:color w:val="000000"/>
      <w:sz w:val="18"/>
      <w:szCs w:val="18"/>
      <w:u w:val="none"/>
    </w:rPr>
  </w:style>
  <w:style w:type="character" w:customStyle="1" w:styleId="10">
    <w:name w:val="font3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Documents\WeChat%20Files\wxid_folbhco834q921\FileStorage\File\2021-10\&#37096;&#38376;&#20915;&#31639;&#20844;&#24320;&#32472;&#22270;&#27169;&#26495;(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915;&#31639;&#20844;&#24320;\2020&#24180;&#20915;&#31639;&#20844;&#24320;1\2020&#24180;&#20915;&#31639;&#20844;&#24320;&#36164;&#26009;\&#37096;&#38376;&#20915;&#31639;&#20844;&#24320;&#32472;&#22270;&#27169;&#2649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915;&#31639;&#20844;&#24320;\2020&#24180;&#20915;&#31639;&#20844;&#24320;1\2020&#24180;&#20915;&#31639;&#20844;&#24320;&#36164;&#26009;\&#37096;&#38376;&#20915;&#31639;&#20844;&#24320;&#32472;&#2227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人员结构图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316309679340346"/>
                  <c:y val="-0.060517728781859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在职行政人员</a:t>
                    </a:r>
                    <a:r>
                      <a:rPr lang="en-US" altLang="zh-CN"/>
                      <a:t>8</a:t>
                    </a:r>
                    <a:r>
                      <a:t>0%</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79722222222222"/>
                      <c:h val="0.111574074074074"/>
                    </c:manualLayout>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在职事业人员</a:t>
                    </a:r>
                    <a:r>
                      <a:rPr lang="en-US" altLang="zh-CN"/>
                      <a:t>2</a:t>
                    </a:r>
                    <a:r>
                      <a:t>0%</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59621353196772"/>
                      <c:h val="0.0826048951048951"/>
                    </c:manualLayout>
                  </c15:layout>
                </c:ext>
              </c:extLst>
            </c:dLbl>
            <c:dLbl>
              <c:idx val="2"/>
              <c:layout>
                <c:manualLayout>
                  <c:x val="-0.109930354263783"/>
                  <c:y val="0.024675073691337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离退休人员</a:t>
                    </a:r>
                    <a:r>
                      <a:rPr lang="en-US" altLang="zh-CN"/>
                      <a:t>1</a:t>
                    </a:r>
                    <a:r>
                      <a:t>0%</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28333333333333"/>
                      <c:h val="0.077546296296296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'[部门决算公开绘图模板(1).xlsx]人员结构图'!$A$1:$C$1</c:f>
              <c:strCache>
                <c:ptCount val="3"/>
                <c:pt idx="0">
                  <c:v>在职行政人员</c:v>
                </c:pt>
                <c:pt idx="1">
                  <c:v>在职事业人员</c:v>
                </c:pt>
                <c:pt idx="2">
                  <c:v>离退休人员</c:v>
                </c:pt>
              </c:strCache>
            </c:strRef>
          </c:cat>
          <c:val>
            <c:numRef>
              <c:f>'[部门决算公开绘图模板(1).xlsx]人员结构图'!$A$2:$C$2</c:f>
              <c:numCache>
                <c:formatCode>0%</c:formatCode>
                <c:ptCount val="3"/>
                <c:pt idx="0">
                  <c:v>0.8</c:v>
                </c:pt>
                <c:pt idx="1">
                  <c:v>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delete val="1"/>
            </c:dLbl>
            <c:dLbl>
              <c:idx val="2"/>
              <c:layout>
                <c:manualLayout>
                  <c:x val="-0.0494460073737657"/>
                  <c:y val="0.064240502103585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[部门决算公开绘图模板.xlsx]收入结构图!$A$1:$C$1</c:f>
              <c:strCache>
                <c:ptCount val="3"/>
                <c:pt idx="0">
                  <c:v>财政拨款收入</c:v>
                </c:pt>
                <c:pt idx="1">
                  <c:v>事业收入</c:v>
                </c:pt>
                <c:pt idx="2">
                  <c:v>其他收入</c:v>
                </c:pt>
              </c:strCache>
            </c:strRef>
          </c:cat>
          <c:val>
            <c:numRef>
              <c:f>[部门决算公开绘图模板.xlsx]收入结构图!$A$2:$C$2</c:f>
              <c:numCache>
                <c:formatCode>0%</c:formatCode>
                <c:ptCount val="3"/>
                <c:pt idx="0">
                  <c:v>0.97</c:v>
                </c:pt>
                <c:pt idx="1">
                  <c:v>0</c:v>
                </c:pt>
                <c:pt idx="2">
                  <c:v>0.03</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[部门决算公开绘图模板.xlsx]支出结构图!$A$1:$B$1</c:f>
              <c:strCache>
                <c:ptCount val="2"/>
                <c:pt idx="0">
                  <c:v>基本支出</c:v>
                </c:pt>
                <c:pt idx="1">
                  <c:v>项目支出</c:v>
                </c:pt>
              </c:strCache>
            </c:strRef>
          </c:cat>
          <c:val>
            <c:numRef>
              <c:f>[部门决算公开绘图模板.xlsx]支出结构图!$A$2:$B$2</c:f>
              <c:numCache>
                <c:formatCode>0%</c:formatCode>
                <c:ptCount val="2"/>
                <c:pt idx="0">
                  <c:v>0.77</c:v>
                </c:pt>
                <c:pt idx="1">
                  <c:v>0.23</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6386</Words>
  <Characters>7081</Characters>
  <Lines>0</Lines>
  <Paragraphs>0</Paragraphs>
  <TotalTime>68</TotalTime>
  <ScaleCrop>false</ScaleCrop>
  <LinksUpToDate>false</LinksUpToDate>
  <CharactersWithSpaces>7124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2019-08-28T07:22:00Z</dcterms:created>
  <dc:creator>Lenovo</dc:creator>
  <cp:lastModifiedBy>Administrator</cp:lastModifiedBy>
  <cp:lastPrinted>2021-10-26T15:31:00Z</cp:lastPrinted>
  <dcterms:modified xsi:type="dcterms:W3CDTF">2023-01-05T03:31:17Z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7CC8B2095B0147B296589087FE504514</vt:lpwstr>
  </property>
</Properties>
</file>