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20" w:afterLines="50"/>
        <w:ind w:firstLine="0" w:firstLineChars="0"/>
        <w:jc w:val="center"/>
        <w:rPr>
          <w:b/>
          <w:sz w:val="32"/>
          <w:szCs w:val="32"/>
        </w:rPr>
      </w:pPr>
      <w:r>
        <w:rPr>
          <w:rFonts w:hint="eastAsia"/>
          <w:b/>
          <w:sz w:val="32"/>
          <w:szCs w:val="32"/>
        </w:rPr>
        <w:t>柞水县2021年双创学校设施设备增配项目</w:t>
      </w:r>
    </w:p>
    <w:p>
      <w:pPr>
        <w:adjustRightInd w:val="0"/>
        <w:snapToGrid w:val="0"/>
        <w:spacing w:after="240" w:afterLines="100"/>
        <w:ind w:firstLine="0" w:firstLineChars="0"/>
        <w:jc w:val="center"/>
        <w:rPr>
          <w:b/>
          <w:sz w:val="32"/>
          <w:szCs w:val="32"/>
        </w:rPr>
      </w:pPr>
      <w:r>
        <w:rPr>
          <w:rFonts w:hint="eastAsia"/>
          <w:b/>
          <w:sz w:val="32"/>
          <w:szCs w:val="32"/>
        </w:rPr>
        <w:t>绩效评价报告</w:t>
      </w:r>
    </w:p>
    <w:p>
      <w:pPr>
        <w:adjustRightInd w:val="0"/>
        <w:snapToGrid w:val="0"/>
        <w:ind w:firstLine="560"/>
        <w:jc w:val="both"/>
        <w:rPr>
          <w:bCs/>
          <w:szCs w:val="28"/>
        </w:rPr>
      </w:pPr>
      <w:r>
        <w:rPr>
          <w:szCs w:val="28"/>
        </w:rPr>
        <w:t>为全面贯彻落实预算法，深入推进预算绩效管理的要求，加强财政预算支出的管理工作，强化财政预算支出责任，提高财政资金的使用效益，受</w:t>
      </w:r>
      <w:r>
        <w:rPr>
          <w:rFonts w:hint="eastAsia"/>
          <w:szCs w:val="28"/>
        </w:rPr>
        <w:t>柞水</w:t>
      </w:r>
      <w:r>
        <w:rPr>
          <w:szCs w:val="28"/>
        </w:rPr>
        <w:t>县财政局的委托，</w:t>
      </w:r>
      <w:r>
        <w:rPr>
          <w:rFonts w:hint="eastAsia"/>
          <w:szCs w:val="28"/>
        </w:rPr>
        <w:t>柞水县智信财务有限公司</w:t>
      </w:r>
      <w:r>
        <w:rPr>
          <w:szCs w:val="28"/>
        </w:rPr>
        <w:t>承担了</w:t>
      </w:r>
      <w:r>
        <w:rPr>
          <w:rFonts w:hint="eastAsia"/>
          <w:szCs w:val="28"/>
        </w:rPr>
        <w:t>柞水县2021年双创学校设施设备增配项目</w:t>
      </w:r>
      <w:r>
        <w:t>的绩效评价工作</w:t>
      </w:r>
      <w:r>
        <w:rPr>
          <w:szCs w:val="28"/>
        </w:rPr>
        <w:t>。我公司特开展本次评价，经过资金使用情况核查、项目数据采集、访谈、社会调查等必要的评价程序，运用绩效分析和统计方法，在梳理、分析评价数据资料的基础上，形成本评价报告。</w:t>
      </w:r>
    </w:p>
    <w:p>
      <w:pPr>
        <w:pStyle w:val="3"/>
        <w:adjustRightInd w:val="0"/>
        <w:snapToGrid w:val="0"/>
        <w:ind w:firstLine="643"/>
      </w:pPr>
      <w:bookmarkStart w:id="0" w:name="_Toc18692"/>
      <w:bookmarkStart w:id="1" w:name="_Toc407145442"/>
      <w:r>
        <w:t>一、项目基本情况</w:t>
      </w:r>
      <w:bookmarkEnd w:id="0"/>
      <w:bookmarkEnd w:id="1"/>
    </w:p>
    <w:p>
      <w:pPr>
        <w:pStyle w:val="4"/>
        <w:adjustRightInd w:val="0"/>
        <w:snapToGrid w:val="0"/>
        <w:ind w:firstLine="602"/>
        <w:rPr>
          <w:rFonts w:ascii="Times New Roman" w:hAnsi="Times New Roman"/>
        </w:rPr>
      </w:pPr>
      <w:bookmarkStart w:id="2" w:name="_Toc407145443"/>
      <w:bookmarkStart w:id="3" w:name="_Toc402097631"/>
      <w:bookmarkStart w:id="4" w:name="_Toc5100"/>
      <w:r>
        <w:rPr>
          <w:rFonts w:ascii="Times New Roman" w:hAnsi="Times New Roman"/>
        </w:rPr>
        <w:t>（一）项目概况</w:t>
      </w:r>
      <w:bookmarkEnd w:id="2"/>
      <w:bookmarkEnd w:id="3"/>
      <w:bookmarkEnd w:id="4"/>
    </w:p>
    <w:p>
      <w:pPr>
        <w:pStyle w:val="5"/>
        <w:adjustRightInd w:val="0"/>
        <w:snapToGrid w:val="0"/>
        <w:ind w:firstLine="560"/>
      </w:pPr>
      <w:bookmarkStart w:id="5" w:name="_Toc91332940"/>
      <w:bookmarkStart w:id="6" w:name="_Toc407145444"/>
      <w:bookmarkStart w:id="7" w:name="_Toc532210852"/>
      <w:bookmarkStart w:id="8" w:name="_Toc31711"/>
      <w:bookmarkStart w:id="9" w:name="_Toc17017"/>
      <w:bookmarkStart w:id="10" w:name="_Toc15194"/>
      <w:bookmarkStart w:id="11" w:name="_Toc402097632"/>
      <w:bookmarkStart w:id="12" w:name="_Toc11822"/>
      <w:bookmarkStart w:id="13" w:name="_Toc91332488"/>
      <w:bookmarkStart w:id="14" w:name="_Toc572"/>
      <w:bookmarkStart w:id="15" w:name="_Toc99442204"/>
      <w:bookmarkStart w:id="16" w:name="_Toc15681"/>
      <w:bookmarkStart w:id="17" w:name="_Toc30889"/>
      <w:bookmarkStart w:id="18" w:name="_Toc23385"/>
      <w:r>
        <w:rPr>
          <w:b w:val="0"/>
        </w:rPr>
        <w:t>1.项目建设背景</w:t>
      </w:r>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b w:val="0"/>
        </w:rPr>
        <w:t>，为了改善我县小学办学条件，促进城乡教育均衡发展，柞水县科技与教育体育局计划增加小学物理、化学、生物实验室设备和仪器，以改善乡镇小学的教学条件</w:t>
      </w:r>
      <w:r>
        <w:rPr>
          <w:rFonts w:hint="eastAsia"/>
        </w:rPr>
        <w:t>。</w:t>
      </w:r>
      <w:r>
        <w:t xml:space="preserve"> </w:t>
      </w:r>
    </w:p>
    <w:p>
      <w:pPr>
        <w:pStyle w:val="5"/>
        <w:adjustRightInd w:val="0"/>
        <w:snapToGrid w:val="0"/>
      </w:pPr>
      <w:bookmarkStart w:id="19" w:name="_Toc99442205"/>
      <w:bookmarkStart w:id="20" w:name="_Toc5170"/>
      <w:bookmarkStart w:id="21" w:name="_Toc23288"/>
      <w:bookmarkStart w:id="22" w:name="_Toc6919"/>
      <w:r>
        <w:t>2.项目主要内容及实施情况</w:t>
      </w:r>
      <w:bookmarkEnd w:id="19"/>
      <w:bookmarkEnd w:id="20"/>
      <w:bookmarkEnd w:id="21"/>
      <w:bookmarkEnd w:id="22"/>
    </w:p>
    <w:p>
      <w:pPr>
        <w:pStyle w:val="6"/>
        <w:adjustRightInd w:val="0"/>
        <w:snapToGrid w:val="0"/>
        <w:ind w:firstLine="560"/>
      </w:pPr>
      <w:r>
        <w:t>（1）项目主要内容</w:t>
      </w:r>
    </w:p>
    <w:p>
      <w:pPr>
        <w:ind w:firstLine="560"/>
        <w:jc w:val="both"/>
      </w:pPr>
      <w:r>
        <w:rPr>
          <w:rFonts w:hint="eastAsia"/>
        </w:rPr>
        <w:t>项目名称：柞水县2021年双创学校设施设备增配项目</w:t>
      </w:r>
    </w:p>
    <w:p>
      <w:pPr>
        <w:ind w:firstLine="560"/>
        <w:jc w:val="both"/>
        <w:rPr>
          <w:rFonts w:hint="eastAsia"/>
        </w:rPr>
      </w:pPr>
      <w:r>
        <w:rPr>
          <w:rFonts w:hint="eastAsia"/>
        </w:rPr>
        <w:t>建设规模及主要建设内容：增加全县10所小学生物实验室设备、仪器、化学实验室设备、仪器，物理实验室设备、仪器和小学科学六边形实验室设备、小学科学实验室仪器等项目。详见附件二：柞水县2021年双创学校设施设备增配项目设备采购表。</w:t>
      </w:r>
    </w:p>
    <w:p>
      <w:pPr>
        <w:ind w:firstLine="560"/>
        <w:jc w:val="both"/>
      </w:pPr>
      <w:r>
        <w:t>（2）项目实施情况</w:t>
      </w:r>
    </w:p>
    <w:p>
      <w:pPr>
        <w:ind w:firstLine="560"/>
        <w:jc w:val="both"/>
      </w:pPr>
      <w:r>
        <w:rPr>
          <w:rFonts w:hint="eastAsia"/>
        </w:rPr>
        <w:t>柞水县科技和教育体育局（后简称：县科教局）委托陕西教育招标有限责任公司进行公开招标，确认淮安市希希科教设备有限公司为中标供应商，中标金额为4783900.00元。2022年7月11日县科教局与淮安市希希科教设备有限公司签订供货合同，2022年9月20日-21日县科教局和采购学校联合验收，验收质量合格。</w:t>
      </w:r>
    </w:p>
    <w:p>
      <w:pPr>
        <w:pStyle w:val="5"/>
        <w:adjustRightInd w:val="0"/>
        <w:snapToGrid w:val="0"/>
      </w:pPr>
      <w:bookmarkStart w:id="23" w:name="_Toc8028"/>
      <w:bookmarkStart w:id="24" w:name="_Toc99442206"/>
      <w:bookmarkStart w:id="25" w:name="_Toc3765"/>
      <w:bookmarkStart w:id="26" w:name="_Toc20244"/>
      <w:r>
        <w:t>3</w:t>
      </w:r>
      <w:r>
        <w:rPr>
          <w:rFonts w:hint="eastAsia"/>
        </w:rPr>
        <w:t>.</w:t>
      </w:r>
      <w:r>
        <w:t>资金投入和使用情况</w:t>
      </w:r>
      <w:bookmarkEnd w:id="23"/>
      <w:bookmarkEnd w:id="24"/>
      <w:bookmarkEnd w:id="25"/>
      <w:bookmarkEnd w:id="26"/>
    </w:p>
    <w:p>
      <w:pPr>
        <w:ind w:firstLine="560"/>
        <w:jc w:val="both"/>
      </w:pPr>
      <w:r>
        <w:t>（1）资金投入情况</w:t>
      </w:r>
    </w:p>
    <w:p>
      <w:pPr>
        <w:ind w:firstLine="560"/>
        <w:jc w:val="both"/>
      </w:pPr>
      <w:r>
        <w:t>根据</w:t>
      </w:r>
      <w:r>
        <w:rPr>
          <w:rFonts w:hint="eastAsia"/>
        </w:rPr>
        <w:t>柞水县财政局</w:t>
      </w:r>
      <w:r>
        <w:t>《</w:t>
      </w:r>
      <w:r>
        <w:rPr>
          <w:rFonts w:hint="eastAsia"/>
        </w:rPr>
        <w:t>关于下达专项经费预算的通知</w:t>
      </w:r>
      <w:r>
        <w:t>》（</w:t>
      </w:r>
      <w:r>
        <w:rPr>
          <w:rFonts w:hint="eastAsia"/>
        </w:rPr>
        <w:t>柞财办教</w:t>
      </w:r>
      <w:r>
        <w:t>发</w:t>
      </w:r>
      <w:r>
        <w:rPr>
          <w:rFonts w:eastAsia="仿宋"/>
        </w:rPr>
        <w:t>〔2021〕</w:t>
      </w:r>
      <w:r>
        <w:rPr>
          <w:rFonts w:hint="eastAsia" w:eastAsia="仿宋"/>
        </w:rPr>
        <w:t>688</w:t>
      </w:r>
      <w:r>
        <w:rPr>
          <w:rFonts w:eastAsia="仿宋"/>
        </w:rPr>
        <w:t>号</w:t>
      </w:r>
      <w:r>
        <w:t>）文件，</w:t>
      </w:r>
      <w:r>
        <w:rPr>
          <w:rFonts w:hint="eastAsia"/>
        </w:rPr>
        <w:t>下达柞水县科技与教育体育局“双创”学校设备设施增配专项资金500万元</w:t>
      </w:r>
      <w:r>
        <w:t>，</w:t>
      </w:r>
      <w:r>
        <w:rPr>
          <w:rFonts w:hint="eastAsia"/>
        </w:rPr>
        <w:t>2021年12月9日全部到位，</w:t>
      </w:r>
      <w:r>
        <w:t>资金到位率</w:t>
      </w:r>
      <w:r>
        <w:rPr>
          <w:rFonts w:hint="eastAsia"/>
        </w:rPr>
        <w:t>100</w:t>
      </w:r>
      <w:r>
        <w:t>%。</w:t>
      </w:r>
    </w:p>
    <w:p>
      <w:pPr>
        <w:ind w:firstLine="560"/>
        <w:jc w:val="both"/>
      </w:pPr>
      <w:r>
        <w:t>（2）资金使用情况</w:t>
      </w:r>
    </w:p>
    <w:p>
      <w:pPr>
        <w:ind w:firstLine="560"/>
        <w:jc w:val="both"/>
      </w:pPr>
      <w:r>
        <w:rPr>
          <w:rFonts w:hint="eastAsia"/>
        </w:rPr>
        <w:t>柞水县2021年双创学校设施设备增配项目</w:t>
      </w:r>
      <w:r>
        <w:t>到位财政资金</w:t>
      </w:r>
      <w:r>
        <w:rPr>
          <w:rFonts w:hint="eastAsia"/>
        </w:rPr>
        <w:t>500</w:t>
      </w:r>
      <w:r>
        <w:t>万元，实际支出</w:t>
      </w:r>
      <w:r>
        <w:rPr>
          <w:rFonts w:hint="eastAsia" w:ascii="仿宋" w:hAnsi="仿宋" w:eastAsia="仿宋"/>
        </w:rPr>
        <w:t>4,783,900.00</w:t>
      </w:r>
      <w:r>
        <w:t>元，资金支出率</w:t>
      </w:r>
      <w:r>
        <w:rPr>
          <w:rFonts w:hint="eastAsia"/>
        </w:rPr>
        <w:t>95.68</w:t>
      </w:r>
      <w:r>
        <w:t>%</w:t>
      </w:r>
      <w:r>
        <w:rPr>
          <w:rFonts w:hint="eastAsia"/>
        </w:rPr>
        <w:t>（结果保留两位小数）</w:t>
      </w:r>
      <w:r>
        <w:t>。</w:t>
      </w:r>
      <w:r>
        <w:rPr>
          <w:rFonts w:hint="eastAsia"/>
        </w:rPr>
        <w:t>资金具体支出明细详见附件二：柞水县2021年双创学校设施设备增配项目设备采购清单。</w:t>
      </w:r>
    </w:p>
    <w:p>
      <w:pPr>
        <w:pStyle w:val="4"/>
        <w:ind w:firstLine="602"/>
        <w:rPr>
          <w:rFonts w:ascii="Times New Roman" w:hAnsi="Times New Roman"/>
        </w:rPr>
      </w:pPr>
      <w:bookmarkStart w:id="27" w:name="_Toc30846"/>
      <w:bookmarkStart w:id="28" w:name="_Toc466304873"/>
      <w:r>
        <w:rPr>
          <w:rFonts w:ascii="Times New Roman" w:hAnsi="Times New Roman"/>
        </w:rPr>
        <w:t>（二）项目组织管理和执行情况</w:t>
      </w:r>
      <w:bookmarkEnd w:id="27"/>
      <w:bookmarkEnd w:id="28"/>
    </w:p>
    <w:p>
      <w:pPr>
        <w:pStyle w:val="5"/>
      </w:pPr>
      <w:bookmarkStart w:id="29" w:name="_Toc91332944"/>
      <w:bookmarkStart w:id="30" w:name="_Toc31482"/>
      <w:bookmarkStart w:id="31" w:name="_Toc91332492"/>
      <w:bookmarkStart w:id="32" w:name="_Toc31592"/>
      <w:bookmarkStart w:id="33" w:name="_Toc24487"/>
      <w:bookmarkStart w:id="34" w:name="_Toc32052"/>
      <w:bookmarkStart w:id="35" w:name="_Toc5649"/>
      <w:bookmarkStart w:id="36" w:name="_Toc99442208"/>
      <w:bookmarkStart w:id="37" w:name="_Toc355"/>
      <w:bookmarkStart w:id="38" w:name="_Toc25963"/>
      <w:r>
        <w:t>1</w:t>
      </w:r>
      <w:r>
        <w:rPr>
          <w:rFonts w:hint="eastAsia"/>
        </w:rPr>
        <w:t>.</w:t>
      </w:r>
      <w:r>
        <w:t>组织管理流程</w:t>
      </w:r>
      <w:bookmarkEnd w:id="29"/>
      <w:bookmarkEnd w:id="30"/>
      <w:bookmarkEnd w:id="31"/>
      <w:bookmarkEnd w:id="32"/>
      <w:bookmarkEnd w:id="33"/>
      <w:bookmarkEnd w:id="34"/>
      <w:bookmarkEnd w:id="35"/>
      <w:bookmarkEnd w:id="36"/>
      <w:bookmarkEnd w:id="37"/>
      <w:bookmarkEnd w:id="38"/>
    </w:p>
    <w:p>
      <w:pPr>
        <w:pStyle w:val="59"/>
        <w:ind w:firstLine="560"/>
        <w:rPr>
          <w:rFonts w:cs="Times New Roman"/>
        </w:rPr>
      </w:pPr>
      <w:r>
        <w:rPr>
          <w:rFonts w:hint="eastAsia" w:cs="Times New Roman"/>
        </w:rPr>
        <w:t>柞水</w:t>
      </w:r>
      <w:r>
        <w:rPr>
          <w:rFonts w:cs="Times New Roman"/>
        </w:rPr>
        <w:t>县财政局：负责对项目财政资金进行安排、拨付、管理及监督。</w:t>
      </w:r>
    </w:p>
    <w:p>
      <w:pPr>
        <w:pStyle w:val="59"/>
        <w:ind w:firstLine="560"/>
        <w:rPr>
          <w:rFonts w:cs="Times New Roman"/>
        </w:rPr>
      </w:pPr>
      <w:r>
        <w:rPr>
          <w:rFonts w:hint="eastAsia" w:cs="Times New Roman"/>
        </w:rPr>
        <w:t>柞水</w:t>
      </w:r>
      <w:r>
        <w:rPr>
          <w:rFonts w:cs="Times New Roman"/>
        </w:rPr>
        <w:t>县发展和改革局：负责项目立项审批、监督管理等职责。</w:t>
      </w:r>
    </w:p>
    <w:p>
      <w:pPr>
        <w:ind w:firstLine="560"/>
      </w:pPr>
      <w:r>
        <w:rPr>
          <w:rFonts w:hint="eastAsia"/>
        </w:rPr>
        <w:t>柞水县科技与教育体育局：</w:t>
      </w:r>
      <w:r>
        <w:t>主要负责项目资金的核算、筹措和拨付工作，根据合同规定</w:t>
      </w:r>
      <w:r>
        <w:rPr>
          <w:rFonts w:hint="eastAsia"/>
        </w:rPr>
        <w:t>支付款项，</w:t>
      </w:r>
      <w:r>
        <w:t>同时负责项目资金的使用以及监督管理等工作。以及项目前期的准备工作、组织项目方案；审核项目实施单位的用款申请和资金使用申请资料，并向县财政局汇报项目情况。</w:t>
      </w:r>
    </w:p>
    <w:p>
      <w:pPr>
        <w:pStyle w:val="5"/>
      </w:pPr>
      <w:bookmarkStart w:id="39" w:name="_Toc25054"/>
      <w:bookmarkStart w:id="40" w:name="_Toc5573"/>
      <w:bookmarkStart w:id="41" w:name="_Toc91332493"/>
      <w:bookmarkStart w:id="42" w:name="_Toc14030"/>
      <w:bookmarkStart w:id="43" w:name="_Toc99442209"/>
      <w:bookmarkStart w:id="44" w:name="_Toc3496"/>
      <w:bookmarkStart w:id="45" w:name="_Toc4071"/>
      <w:bookmarkStart w:id="46" w:name="_Toc26330"/>
      <w:bookmarkStart w:id="47" w:name="_Toc91332945"/>
      <w:bookmarkStart w:id="48" w:name="_Toc18369"/>
      <w:r>
        <w:t>2</w:t>
      </w:r>
      <w:r>
        <w:rPr>
          <w:rFonts w:hint="eastAsia"/>
        </w:rPr>
        <w:t>.</w:t>
      </w:r>
      <w:r>
        <w:t>资金拨付流程</w:t>
      </w:r>
      <w:bookmarkEnd w:id="39"/>
      <w:bookmarkEnd w:id="40"/>
      <w:bookmarkEnd w:id="41"/>
      <w:bookmarkEnd w:id="42"/>
      <w:bookmarkEnd w:id="43"/>
      <w:bookmarkEnd w:id="44"/>
      <w:bookmarkEnd w:id="45"/>
      <w:bookmarkEnd w:id="46"/>
      <w:bookmarkEnd w:id="47"/>
      <w:bookmarkEnd w:id="48"/>
    </w:p>
    <w:p>
      <w:pPr>
        <w:ind w:firstLine="560"/>
      </w:pPr>
      <w:r>
        <w:t>由</w:t>
      </w:r>
      <w:r>
        <w:rPr>
          <w:rFonts w:hint="eastAsia"/>
        </w:rPr>
        <w:t>柞水县</w:t>
      </w:r>
      <w:r>
        <w:t>财政局下达专项资金和项目任务计划清单，</w:t>
      </w:r>
      <w:r>
        <w:rPr>
          <w:rFonts w:hint="eastAsia"/>
        </w:rPr>
        <w:t>并按</w:t>
      </w:r>
      <w:r>
        <w:t>计划将资金拨付至项目主管部门</w:t>
      </w:r>
      <w:r>
        <w:rPr>
          <w:rFonts w:hint="eastAsia"/>
        </w:rPr>
        <w:t>柞水县科技与教育体育局</w:t>
      </w:r>
      <w:r>
        <w:t>专户。项目实施单位根据</w:t>
      </w:r>
      <w:r>
        <w:rPr>
          <w:rFonts w:hint="eastAsia"/>
        </w:rPr>
        <w:t>采购情况支付款项</w:t>
      </w:r>
      <w:r>
        <w:t>。具体流程由</w:t>
      </w:r>
      <w:r>
        <w:rPr>
          <w:rFonts w:hint="eastAsia"/>
        </w:rPr>
        <w:t>县科技与教育体育局和采购学校验收合格后</w:t>
      </w:r>
      <w:r>
        <w:t>，经办管理人核查，分管领导复查，单位财务领导审核，主管领导审签，单位财务结算，并将资金支付给</w:t>
      </w:r>
      <w:r>
        <w:rPr>
          <w:rFonts w:hint="eastAsia"/>
        </w:rPr>
        <w:t>供货</w:t>
      </w:r>
      <w:r>
        <w:t>单位对公账户。</w:t>
      </w:r>
    </w:p>
    <w:p>
      <w:pPr>
        <w:pStyle w:val="4"/>
        <w:ind w:firstLine="602"/>
        <w:rPr>
          <w:rFonts w:ascii="Times New Roman" w:hAnsi="Times New Roman"/>
        </w:rPr>
      </w:pPr>
      <w:bookmarkStart w:id="49" w:name="_Toc466304874"/>
      <w:bookmarkStart w:id="50" w:name="_Toc18331"/>
      <w:r>
        <w:rPr>
          <w:rFonts w:ascii="Times New Roman" w:hAnsi="Times New Roman"/>
        </w:rPr>
        <w:t>（三）</w:t>
      </w:r>
      <w:bookmarkEnd w:id="49"/>
      <w:r>
        <w:rPr>
          <w:rFonts w:ascii="Times New Roman" w:hAnsi="Times New Roman"/>
        </w:rPr>
        <w:t>项目绩效目标</w:t>
      </w:r>
      <w:bookmarkEnd w:id="50"/>
    </w:p>
    <w:p>
      <w:pPr>
        <w:pStyle w:val="5"/>
      </w:pPr>
      <w:bookmarkStart w:id="51" w:name="_Toc13404"/>
      <w:bookmarkStart w:id="52" w:name="_Toc12436"/>
      <w:bookmarkStart w:id="53" w:name="_Toc24841"/>
      <w:bookmarkStart w:id="54" w:name="_Toc99442211"/>
      <w:bookmarkStart w:id="55" w:name="_Toc9159"/>
      <w:bookmarkStart w:id="56" w:name="_Toc2796"/>
      <w:bookmarkStart w:id="57" w:name="_Toc23550"/>
      <w:bookmarkStart w:id="58" w:name="_Toc91332495"/>
      <w:bookmarkStart w:id="59" w:name="_Toc91332947"/>
      <w:bookmarkStart w:id="60" w:name="_Toc26879"/>
      <w:r>
        <w:t>1</w:t>
      </w:r>
      <w:r>
        <w:rPr>
          <w:rFonts w:hint="eastAsia"/>
        </w:rPr>
        <w:t>.</w:t>
      </w:r>
      <w:r>
        <w:t>总体目标</w:t>
      </w:r>
      <w:bookmarkEnd w:id="51"/>
      <w:bookmarkEnd w:id="52"/>
      <w:bookmarkEnd w:id="53"/>
      <w:bookmarkEnd w:id="54"/>
      <w:bookmarkEnd w:id="55"/>
      <w:bookmarkEnd w:id="56"/>
      <w:bookmarkEnd w:id="57"/>
      <w:bookmarkEnd w:id="58"/>
      <w:bookmarkEnd w:id="59"/>
      <w:bookmarkEnd w:id="60"/>
    </w:p>
    <w:p>
      <w:pPr>
        <w:adjustRightInd w:val="0"/>
        <w:snapToGrid w:val="0"/>
        <w:ind w:firstLine="560"/>
      </w:pPr>
      <w:r>
        <w:rPr>
          <w:rFonts w:hint="eastAsia"/>
        </w:rPr>
        <w:t>通过柞水县2021年双创学校设施设备增配项目的实施，采购实验教学设备，进一步优化教学、教研等设施，切实提高教学质量，为学校培养高层次人才打造良好的环境。</w:t>
      </w:r>
    </w:p>
    <w:p>
      <w:pPr>
        <w:pStyle w:val="5"/>
        <w:rPr>
          <w:rFonts w:eastAsia="仿宋_GB2312"/>
        </w:rPr>
      </w:pPr>
      <w:bookmarkStart w:id="61" w:name="_Toc91332948"/>
      <w:bookmarkStart w:id="62" w:name="_Toc15978"/>
      <w:bookmarkStart w:id="63" w:name="_Toc803"/>
      <w:bookmarkStart w:id="64" w:name="_Toc324"/>
      <w:bookmarkStart w:id="65" w:name="_Toc30625"/>
      <w:bookmarkStart w:id="66" w:name="_Toc31316"/>
      <w:bookmarkStart w:id="67" w:name="_Toc10314"/>
      <w:bookmarkStart w:id="68" w:name="_Toc99442212"/>
      <w:bookmarkStart w:id="69" w:name="_Toc91332496"/>
      <w:bookmarkStart w:id="70" w:name="_Toc22502"/>
      <w:r>
        <w:t>2</w:t>
      </w:r>
      <w:r>
        <w:rPr>
          <w:rFonts w:hint="eastAsia"/>
        </w:rPr>
        <w:t>.</w:t>
      </w:r>
      <w:r>
        <w:t>具体目标</w:t>
      </w:r>
      <w:bookmarkEnd w:id="61"/>
      <w:bookmarkEnd w:id="62"/>
      <w:bookmarkEnd w:id="63"/>
      <w:bookmarkEnd w:id="64"/>
      <w:bookmarkEnd w:id="65"/>
      <w:bookmarkEnd w:id="66"/>
      <w:bookmarkEnd w:id="67"/>
      <w:bookmarkEnd w:id="68"/>
      <w:bookmarkEnd w:id="69"/>
      <w:bookmarkEnd w:id="70"/>
    </w:p>
    <w:p>
      <w:pPr>
        <w:pStyle w:val="59"/>
        <w:ind w:left="560" w:firstLine="0" w:firstLineChars="0"/>
        <w:rPr>
          <w:rFonts w:cs="Times New Roman"/>
        </w:rPr>
      </w:pPr>
      <w:r>
        <w:rPr>
          <w:rFonts w:cs="Times New Roman"/>
        </w:rPr>
        <w:t>（1）产出目标</w:t>
      </w:r>
    </w:p>
    <w:p>
      <w:pPr>
        <w:pStyle w:val="59"/>
        <w:ind w:firstLine="560"/>
        <w:rPr>
          <w:rFonts w:eastAsia="仿宋_GB2312" w:cs="Times New Roman"/>
          <w:kern w:val="2"/>
          <w:szCs w:val="22"/>
        </w:rPr>
      </w:pPr>
      <w:r>
        <w:rPr>
          <w:rFonts w:hint="eastAsia" w:ascii="宋体" w:hAnsi="宋体" w:eastAsia="宋体" w:cs="宋体"/>
        </w:rPr>
        <w:t>①</w:t>
      </w:r>
      <w:r>
        <w:rPr>
          <w:rFonts w:hint="eastAsia" w:eastAsia="仿宋_GB2312" w:cs="Times New Roman"/>
          <w:kern w:val="2"/>
          <w:szCs w:val="22"/>
        </w:rPr>
        <w:t>项目完工率100%；</w:t>
      </w:r>
    </w:p>
    <w:p>
      <w:pPr>
        <w:pStyle w:val="59"/>
        <w:ind w:left="560" w:firstLine="0" w:firstLineChars="0"/>
        <w:rPr>
          <w:rFonts w:eastAsia="仿宋_GB2312" w:cs="Times New Roman"/>
          <w:kern w:val="2"/>
          <w:szCs w:val="22"/>
        </w:rPr>
      </w:pPr>
      <w:r>
        <w:rPr>
          <w:rFonts w:hint="eastAsia" w:eastAsia="仿宋_GB2312" w:cs="Times New Roman"/>
          <w:kern w:val="2"/>
          <w:szCs w:val="22"/>
        </w:rPr>
        <w:t>②项目完成及时率100%；</w:t>
      </w:r>
    </w:p>
    <w:p>
      <w:pPr>
        <w:pStyle w:val="59"/>
        <w:ind w:left="560" w:firstLine="0" w:firstLineChars="0"/>
        <w:rPr>
          <w:rFonts w:eastAsia="仿宋_GB2312" w:cs="Times New Roman"/>
          <w:kern w:val="2"/>
          <w:szCs w:val="22"/>
        </w:rPr>
      </w:pPr>
      <w:r>
        <w:rPr>
          <w:rFonts w:hint="eastAsia" w:eastAsia="仿宋_GB2312" w:cs="Times New Roman"/>
          <w:kern w:val="2"/>
          <w:szCs w:val="22"/>
        </w:rPr>
        <w:t>③项目验收合格率100%。</w:t>
      </w:r>
    </w:p>
    <w:p>
      <w:pPr>
        <w:pStyle w:val="59"/>
        <w:ind w:firstLine="560"/>
        <w:rPr>
          <w:rFonts w:cs="Times New Roman"/>
        </w:rPr>
      </w:pPr>
      <w:r>
        <w:rPr>
          <w:rFonts w:cs="Times New Roman"/>
        </w:rPr>
        <w:t>（2）效益目标</w:t>
      </w:r>
    </w:p>
    <w:p>
      <w:pPr>
        <w:pStyle w:val="59"/>
        <w:ind w:firstLine="560"/>
        <w:rPr>
          <w:rFonts w:cs="Times New Roman"/>
          <w:kern w:val="2"/>
          <w:szCs w:val="22"/>
        </w:rPr>
      </w:pPr>
      <w:r>
        <w:rPr>
          <w:rFonts w:hint="eastAsia" w:cs="Times New Roman"/>
          <w:kern w:val="2"/>
          <w:szCs w:val="22"/>
        </w:rPr>
        <w:t>①改善教育教学环境，更好的为学生提供教育教学服务；</w:t>
      </w:r>
    </w:p>
    <w:p>
      <w:pPr>
        <w:pStyle w:val="59"/>
        <w:ind w:firstLine="560"/>
        <w:rPr>
          <w:rFonts w:cs="Times New Roman"/>
          <w:kern w:val="2"/>
          <w:szCs w:val="22"/>
        </w:rPr>
      </w:pPr>
      <w:r>
        <w:rPr>
          <w:rFonts w:hint="eastAsia" w:cs="Times New Roman"/>
          <w:kern w:val="2"/>
          <w:szCs w:val="22"/>
        </w:rPr>
        <w:t>②持续提高柞水县办学条件；</w:t>
      </w:r>
    </w:p>
    <w:p>
      <w:pPr>
        <w:pStyle w:val="59"/>
        <w:ind w:firstLine="560"/>
        <w:rPr>
          <w:rFonts w:cs="Times New Roman"/>
          <w:szCs w:val="28"/>
        </w:rPr>
      </w:pPr>
      <w:r>
        <w:rPr>
          <w:rFonts w:hint="eastAsia"/>
        </w:rPr>
        <w:t>③教职工及学生满意度</w:t>
      </w:r>
      <w:r>
        <w:rPr>
          <w:rFonts w:hint="eastAsia" w:cs="Times New Roman"/>
          <w:szCs w:val="28"/>
        </w:rPr>
        <w:t>≥</w:t>
      </w:r>
      <w:r>
        <w:rPr>
          <w:rFonts w:cs="Times New Roman"/>
          <w:szCs w:val="28"/>
        </w:rPr>
        <w:t>90%。</w:t>
      </w:r>
    </w:p>
    <w:p>
      <w:pPr>
        <w:pStyle w:val="3"/>
        <w:ind w:firstLine="643"/>
      </w:pPr>
      <w:bookmarkStart w:id="71" w:name="_Toc25130"/>
      <w:r>
        <w:t>二、绩效评价工作开展情况</w:t>
      </w:r>
      <w:bookmarkEnd w:id="71"/>
    </w:p>
    <w:p>
      <w:pPr>
        <w:autoSpaceDE w:val="0"/>
        <w:autoSpaceDN w:val="0"/>
        <w:adjustRightInd w:val="0"/>
        <w:ind w:firstLine="560"/>
        <w:jc w:val="both"/>
      </w:pPr>
      <w:bookmarkStart w:id="72" w:name="_Toc533184010"/>
      <w:bookmarkStart w:id="73" w:name="_Toc91332951"/>
      <w:bookmarkStart w:id="74" w:name="_Toc16817"/>
      <w:bookmarkStart w:id="75" w:name="_Toc1362"/>
      <w:bookmarkStart w:id="76" w:name="_Toc24543"/>
      <w:bookmarkStart w:id="77" w:name="_Toc2715"/>
      <w:bookmarkStart w:id="78" w:name="_Toc91332499"/>
      <w:r>
        <w:rPr>
          <w:rFonts w:hint="eastAsia"/>
        </w:rPr>
        <w:t>本次评价旨在独立、客观、公正地对该项目进行评价，通过政策支持、项目立项、参与方各司其职、项目执行期间的管控、资金的确认、申请和拨付等方面，评价柞水县在提高教学质量，优化办学条件等方面的效果。更重要的是，设备购置项目支出通常占据学校项目支出的较大比例，发现制度和执行中的缺陷和薄弱环节，有利于及时改进和完善，更好地为师生提供软硬件设备的支撑。</w:t>
      </w:r>
    </w:p>
    <w:p>
      <w:pPr>
        <w:autoSpaceDE w:val="0"/>
        <w:autoSpaceDN w:val="0"/>
        <w:adjustRightInd w:val="0"/>
        <w:ind w:firstLine="560"/>
        <w:jc w:val="both"/>
        <w:rPr>
          <w:rFonts w:eastAsia="仿宋"/>
          <w:color w:val="000000"/>
          <w:kern w:val="0"/>
          <w:szCs w:val="24"/>
        </w:rPr>
      </w:pPr>
      <w:r>
        <w:rPr>
          <w:rFonts w:eastAsia="仿宋"/>
          <w:color w:val="000000"/>
          <w:kern w:val="0"/>
          <w:szCs w:val="24"/>
        </w:rPr>
        <w:t>评价人员根据取得的项目实施方案，对比项目目标和实际完成情况，对项目绩效目标完成情况进行分析。根据取得的项目资金申请文件、相关合同、相关记账凭证和原始凭证、项目实际进度表等资料，并将资金来源计划、项目计划和实际进度表进行比较判断，分析财政资金是否及时到位，如未及时到位，进一步分析对项目进度的影响。项目单位的组织机构是否健全、权责分配是否合理，有无有效书面文件，为完成项目绩效目标有没有制定相应的管理制度，是否按照制度的规定执行。</w:t>
      </w:r>
    </w:p>
    <w:bookmarkEnd w:id="72"/>
    <w:p>
      <w:pPr>
        <w:autoSpaceDE w:val="0"/>
        <w:autoSpaceDN w:val="0"/>
        <w:adjustRightInd w:val="0"/>
        <w:ind w:firstLine="560"/>
        <w:jc w:val="both"/>
        <w:rPr>
          <w:rFonts w:eastAsia="仿宋"/>
          <w:color w:val="000000"/>
          <w:kern w:val="0"/>
          <w:szCs w:val="24"/>
        </w:rPr>
      </w:pPr>
      <w:r>
        <w:rPr>
          <w:rFonts w:eastAsia="仿宋"/>
          <w:color w:val="000000"/>
          <w:kern w:val="0"/>
          <w:szCs w:val="24"/>
        </w:rPr>
        <w:t>本项目主要采用文件搜集、整理与分析查阅项目立项文件、项目申报资料列举指标、整理与分析采取数据对比，会计凭证等资料，并通过访谈掌握具体情况，对采集的数据做详细的分析和统计。</w:t>
      </w:r>
    </w:p>
    <w:p>
      <w:pPr>
        <w:autoSpaceDE w:val="0"/>
        <w:autoSpaceDN w:val="0"/>
        <w:adjustRightInd w:val="0"/>
        <w:ind w:firstLine="560"/>
        <w:jc w:val="both"/>
        <w:rPr>
          <w:b/>
          <w:bCs/>
        </w:rPr>
      </w:pPr>
      <w:r>
        <w:rPr>
          <w:rFonts w:eastAsia="仿宋"/>
          <w:color w:val="000000"/>
          <w:kern w:val="0"/>
          <w:szCs w:val="24"/>
        </w:rPr>
        <w:t>评价工作的内容主要是通过现场文件查阅、相关部门访谈、数据收集</w:t>
      </w:r>
      <w:r>
        <w:rPr>
          <w:rFonts w:hint="eastAsia" w:eastAsia="仿宋"/>
          <w:color w:val="000000"/>
          <w:kern w:val="0"/>
          <w:szCs w:val="24"/>
        </w:rPr>
        <w:t>、社会调查</w:t>
      </w:r>
      <w:r>
        <w:rPr>
          <w:rFonts w:eastAsia="仿宋"/>
          <w:color w:val="000000"/>
          <w:kern w:val="0"/>
          <w:szCs w:val="24"/>
        </w:rPr>
        <w:t>等各种方式，结合定量、定性手段，对项目绩效目标、实施过程及质量、最终效果等，进行全面审视与评价。绩效评价指标体系及绩效评价方案初稿。经项目组内部进行充分沟通讨论，对部分指标描述调整使其更加准确，形成方案定稿。评价小组在</w:t>
      </w:r>
      <w:r>
        <w:rPr>
          <w:rFonts w:hint="eastAsia" w:eastAsia="仿宋"/>
          <w:color w:val="000000"/>
          <w:kern w:val="0"/>
          <w:szCs w:val="24"/>
        </w:rPr>
        <w:t>柞水</w:t>
      </w:r>
      <w:r>
        <w:rPr>
          <w:rFonts w:eastAsia="仿宋"/>
          <w:color w:val="000000"/>
          <w:kern w:val="0"/>
          <w:szCs w:val="24"/>
        </w:rPr>
        <w:t>县财政局领导的协助下对项目财政</w:t>
      </w:r>
      <w:r>
        <w:rPr>
          <w:rFonts w:hint="eastAsia" w:eastAsia="仿宋"/>
          <w:color w:val="000000"/>
          <w:kern w:val="0"/>
          <w:szCs w:val="24"/>
        </w:rPr>
        <w:t>专项</w:t>
      </w:r>
      <w:r>
        <w:rPr>
          <w:rFonts w:eastAsia="仿宋"/>
          <w:color w:val="000000"/>
          <w:kern w:val="0"/>
          <w:szCs w:val="24"/>
        </w:rPr>
        <w:t>资金实际使用情况、项目目标完成情况、项目管理制度执行情况等方面资料进行收集。同时，评价小组按照预先制定的访谈计划，对</w:t>
      </w:r>
      <w:r>
        <w:rPr>
          <w:rFonts w:hint="eastAsia" w:eastAsia="仿宋"/>
          <w:color w:val="000000"/>
          <w:kern w:val="0"/>
          <w:szCs w:val="24"/>
        </w:rPr>
        <w:t>柞水</w:t>
      </w:r>
      <w:r>
        <w:rPr>
          <w:rFonts w:eastAsia="仿宋"/>
          <w:color w:val="000000"/>
          <w:kern w:val="0"/>
          <w:szCs w:val="24"/>
        </w:rPr>
        <w:t>县</w:t>
      </w:r>
      <w:r>
        <w:rPr>
          <w:rFonts w:hint="eastAsia" w:eastAsia="仿宋"/>
          <w:color w:val="000000"/>
          <w:kern w:val="0"/>
          <w:szCs w:val="24"/>
        </w:rPr>
        <w:t>科技与教育体育局</w:t>
      </w:r>
      <w:r>
        <w:rPr>
          <w:rFonts w:eastAsia="仿宋"/>
          <w:color w:val="000000"/>
          <w:kern w:val="0"/>
          <w:szCs w:val="24"/>
        </w:rPr>
        <w:t>项目分管领导、财务负责人等进行了访谈，了解项目实际实施情况。</w:t>
      </w:r>
      <w:r>
        <w:t>评价小组根据绩效评价的原理，对收集的数据汇总和分析，在规定时间内提交绩效评价报告</w:t>
      </w:r>
      <w:bookmarkEnd w:id="73"/>
      <w:bookmarkEnd w:id="74"/>
      <w:bookmarkEnd w:id="75"/>
      <w:bookmarkEnd w:id="76"/>
      <w:bookmarkEnd w:id="77"/>
      <w:bookmarkEnd w:id="78"/>
      <w:r>
        <w:rPr>
          <w:rFonts w:hint="eastAsia"/>
        </w:rPr>
        <w:t>。</w:t>
      </w:r>
    </w:p>
    <w:p>
      <w:pPr>
        <w:pStyle w:val="3"/>
        <w:ind w:firstLine="643"/>
      </w:pPr>
      <w:bookmarkStart w:id="79" w:name="_Toc466304881"/>
      <w:bookmarkStart w:id="80" w:name="_Toc29935"/>
      <w:r>
        <w:t>三、评价结论与指标分析</w:t>
      </w:r>
      <w:bookmarkEnd w:id="79"/>
      <w:bookmarkEnd w:id="80"/>
    </w:p>
    <w:p>
      <w:pPr>
        <w:adjustRightInd w:val="0"/>
        <w:snapToGrid w:val="0"/>
        <w:ind w:firstLine="560"/>
      </w:pPr>
      <w:r>
        <w:rPr>
          <w:rFonts w:hint="eastAsia"/>
        </w:rPr>
        <w:t>通过柞水县2021年双创学校设施设备增配项目的实施，采购实验教学设备，进一步优化了教学、教研等设施，切实提高教学质量，为学校培养高层次人才打造良好的环境。教职工及学生</w:t>
      </w:r>
      <w:r>
        <w:t>满意度高，基本实现了项目的预期目标。按照评价指标体系、评分标准，采用数据采集、访谈</w:t>
      </w:r>
      <w:r>
        <w:rPr>
          <w:rFonts w:hint="eastAsia"/>
        </w:rPr>
        <w:t>、问卷调查</w:t>
      </w:r>
      <w:r>
        <w:t>等方式，对该项目进行综合评分，最终得分为</w:t>
      </w:r>
      <w:r>
        <w:rPr>
          <w:rFonts w:hint="eastAsia"/>
        </w:rPr>
        <w:t>93.26</w:t>
      </w:r>
      <w:r>
        <w:t>分，绩效状况“</w:t>
      </w:r>
      <w:r>
        <w:rPr>
          <w:rFonts w:hint="eastAsia"/>
        </w:rPr>
        <w:t>优</w:t>
      </w:r>
      <w:r>
        <w:t>”。</w:t>
      </w:r>
    </w:p>
    <w:p>
      <w:pPr>
        <w:ind w:firstLine="560"/>
        <w:rPr>
          <w:kern w:val="0"/>
          <w:szCs w:val="28"/>
        </w:rPr>
      </w:pPr>
      <w:r>
        <w:t>具体得分情况详见附件一：</w:t>
      </w:r>
      <w:r>
        <w:rPr>
          <w:rFonts w:hint="eastAsia"/>
        </w:rPr>
        <w:t>柞水县2021年双创学校设施设备增配项目</w:t>
      </w:r>
      <w:r>
        <w:t>绩效评价指标</w:t>
      </w:r>
      <w:r>
        <w:rPr>
          <w:rFonts w:hint="eastAsia"/>
        </w:rPr>
        <w:t>体系</w:t>
      </w:r>
      <w:r>
        <w:t>。</w:t>
      </w:r>
    </w:p>
    <w:p>
      <w:pPr>
        <w:pStyle w:val="59"/>
        <w:ind w:firstLine="560"/>
        <w:rPr>
          <w:rFonts w:cs="Times New Roman"/>
          <w:highlight w:val="yellow"/>
        </w:rPr>
      </w:pPr>
      <w:r>
        <w:rPr>
          <w:rFonts w:cs="Times New Roman"/>
        </w:rPr>
        <w:t>项目决策指标从项目立项、绩效目标和资金投入三个方面对项目进行考察，项目决策类指标分值共计20分，实际得分为</w:t>
      </w:r>
      <w:r>
        <w:rPr>
          <w:rFonts w:hint="eastAsia" w:cs="Times New Roman"/>
        </w:rPr>
        <w:t>15.5</w:t>
      </w:r>
      <w:r>
        <w:rPr>
          <w:rFonts w:cs="Times New Roman"/>
        </w:rPr>
        <w:t>分，得分率为</w:t>
      </w:r>
      <w:r>
        <w:rPr>
          <w:rFonts w:hint="eastAsia" w:cs="Times New Roman"/>
        </w:rPr>
        <w:t>77.5</w:t>
      </w:r>
      <w:r>
        <w:rPr>
          <w:rFonts w:cs="Times New Roman"/>
        </w:rPr>
        <w:t>%。各指标的实际得分情况见表3-1。</w:t>
      </w:r>
    </w:p>
    <w:p>
      <w:pPr>
        <w:ind w:firstLine="0" w:firstLineChars="0"/>
        <w:jc w:val="center"/>
        <w:rPr>
          <w:rFonts w:eastAsia="仿宋"/>
          <w:sz w:val="21"/>
          <w:szCs w:val="21"/>
        </w:rPr>
      </w:pPr>
      <w:r>
        <w:rPr>
          <w:rFonts w:eastAsia="仿宋"/>
          <w:sz w:val="21"/>
          <w:szCs w:val="21"/>
        </w:rPr>
        <w:t>表3-1：项目决策类指标评分结果汇总表</w:t>
      </w:r>
    </w:p>
    <w:tbl>
      <w:tblPr>
        <w:tblStyle w:val="22"/>
        <w:tblW w:w="4997" w:type="pct"/>
        <w:tblInd w:w="0" w:type="dxa"/>
        <w:tblLayout w:type="autofit"/>
        <w:tblCellMar>
          <w:top w:w="0" w:type="dxa"/>
          <w:left w:w="108" w:type="dxa"/>
          <w:bottom w:w="0" w:type="dxa"/>
          <w:right w:w="108" w:type="dxa"/>
        </w:tblCellMar>
      </w:tblPr>
      <w:tblGrid>
        <w:gridCol w:w="100"/>
        <w:gridCol w:w="1014"/>
        <w:gridCol w:w="1014"/>
        <w:gridCol w:w="1142"/>
        <w:gridCol w:w="416"/>
        <w:gridCol w:w="1496"/>
        <w:gridCol w:w="2050"/>
        <w:gridCol w:w="371"/>
        <w:gridCol w:w="1614"/>
        <w:gridCol w:w="19"/>
      </w:tblGrid>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指标名称</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指标权重</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业绩值</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绩效值</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A1项目立项</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6</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
                <w:b/>
                <w:bCs/>
                <w:color w:val="000000"/>
                <w:sz w:val="21"/>
                <w:szCs w:val="21"/>
              </w:rPr>
            </w:pP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3</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A11</w:t>
            </w:r>
            <w:r>
              <w:rPr>
                <w:rStyle w:val="31"/>
                <w:rFonts w:eastAsia="仿宋"/>
                <w:sz w:val="21"/>
                <w:szCs w:val="21"/>
                <w:lang w:bidi="ar"/>
              </w:rPr>
              <w:t>立项依据充分性</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3</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依据充分，符合客观</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3</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A12</w:t>
            </w:r>
            <w:r>
              <w:rPr>
                <w:rStyle w:val="31"/>
                <w:rFonts w:eastAsia="仿宋"/>
                <w:sz w:val="21"/>
                <w:szCs w:val="21"/>
                <w:lang w:bidi="ar"/>
              </w:rPr>
              <w:t>立项程序规范性</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3</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pPr>
            <w:r>
              <w:rPr>
                <w:rStyle w:val="31"/>
                <w:rFonts w:eastAsia="仿宋"/>
                <w:sz w:val="21"/>
                <w:szCs w:val="21"/>
                <w:lang w:bidi="ar"/>
              </w:rPr>
              <w:t>未见立项文件</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Style w:val="31"/>
                <w:rFonts w:eastAsia="仿宋"/>
                <w:sz w:val="21"/>
                <w:szCs w:val="21"/>
                <w:lang w:bidi="ar"/>
              </w:rPr>
            </w:pPr>
            <w:r>
              <w:rPr>
                <w:rStyle w:val="31"/>
                <w:rFonts w:hint="eastAsia" w:eastAsia="仿宋"/>
                <w:sz w:val="21"/>
                <w:szCs w:val="21"/>
                <w:lang w:bidi="ar"/>
              </w:rPr>
              <w:t>0</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A2绩效目标</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6</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
                <w:b/>
                <w:bCs/>
                <w:color w:val="000000"/>
                <w:sz w:val="21"/>
                <w:szCs w:val="21"/>
              </w:rPr>
            </w:pP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4.5</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A21</w:t>
            </w:r>
            <w:r>
              <w:rPr>
                <w:rStyle w:val="31"/>
                <w:rFonts w:eastAsia="仿宋"/>
                <w:sz w:val="21"/>
                <w:szCs w:val="21"/>
                <w:lang w:bidi="ar"/>
              </w:rPr>
              <w:t>绩效目标合理性</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3</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hint="eastAsia" w:eastAsia="仿宋"/>
                <w:color w:val="000000"/>
                <w:kern w:val="0"/>
                <w:sz w:val="21"/>
                <w:szCs w:val="21"/>
                <w:lang w:bidi="ar"/>
              </w:rPr>
              <w:t>有待进一步完善</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2</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A22</w:t>
            </w:r>
            <w:r>
              <w:rPr>
                <w:rStyle w:val="31"/>
                <w:rFonts w:eastAsia="仿宋"/>
                <w:sz w:val="21"/>
                <w:szCs w:val="21"/>
                <w:lang w:bidi="ar"/>
              </w:rPr>
              <w:t>绩效指标明确性</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3</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hint="eastAsia" w:eastAsia="仿宋"/>
                <w:color w:val="000000"/>
                <w:kern w:val="0"/>
                <w:sz w:val="21"/>
                <w:szCs w:val="21"/>
                <w:lang w:bidi="ar"/>
              </w:rPr>
              <w:t>缺少具体的数量指标</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2.5</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A3资金投入</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8</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
                <w:b/>
                <w:bCs/>
                <w:color w:val="000000"/>
                <w:sz w:val="21"/>
                <w:szCs w:val="21"/>
              </w:rPr>
            </w:pP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8</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A31</w:t>
            </w:r>
            <w:r>
              <w:rPr>
                <w:rStyle w:val="31"/>
                <w:rFonts w:eastAsia="仿宋"/>
                <w:sz w:val="21"/>
                <w:szCs w:val="21"/>
                <w:lang w:bidi="ar"/>
              </w:rPr>
              <w:t>预算编制科学性</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4</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pPr>
            <w:r>
              <w:rPr>
                <w:rFonts w:hint="eastAsia" w:eastAsia="仿宋"/>
                <w:color w:val="000000"/>
                <w:kern w:val="0"/>
                <w:sz w:val="21"/>
                <w:szCs w:val="21"/>
                <w:lang w:bidi="ar"/>
              </w:rPr>
              <w:t>科学</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4</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420"/>
              <w:textAlignment w:val="center"/>
              <w:rPr>
                <w:rFonts w:eastAsia="仿宋"/>
                <w:color w:val="000000"/>
                <w:sz w:val="21"/>
                <w:szCs w:val="21"/>
              </w:rPr>
            </w:pPr>
            <w:r>
              <w:rPr>
                <w:rFonts w:eastAsia="仿宋"/>
                <w:color w:val="000000"/>
                <w:kern w:val="0"/>
                <w:sz w:val="21"/>
                <w:szCs w:val="21"/>
                <w:lang w:bidi="ar"/>
              </w:rPr>
              <w:t>A32</w:t>
            </w:r>
            <w:r>
              <w:rPr>
                <w:rStyle w:val="31"/>
                <w:rFonts w:eastAsia="仿宋"/>
                <w:sz w:val="21"/>
                <w:szCs w:val="21"/>
                <w:lang w:bidi="ar"/>
              </w:rPr>
              <w:t>资金分配合理性</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4</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合理</w:t>
            </w: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sz w:val="21"/>
                <w:szCs w:val="21"/>
              </w:rPr>
            </w:pPr>
            <w:r>
              <w:rPr>
                <w:rFonts w:hint="eastAsia" w:eastAsia="仿宋"/>
                <w:color w:val="000000"/>
                <w:kern w:val="0"/>
                <w:sz w:val="21"/>
                <w:szCs w:val="21"/>
                <w:lang w:bidi="ar"/>
              </w:rPr>
              <w:t>4</w:t>
            </w:r>
          </w:p>
        </w:tc>
      </w:tr>
      <w:tr>
        <w:tblPrEx>
          <w:tblCellMar>
            <w:top w:w="0" w:type="dxa"/>
            <w:left w:w="108" w:type="dxa"/>
            <w:bottom w:w="0" w:type="dxa"/>
            <w:right w:w="108" w:type="dxa"/>
          </w:tblCellMar>
        </w:tblPrEx>
        <w:trPr>
          <w:trHeight w:val="397"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合计</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20</w:t>
            </w:r>
          </w:p>
        </w:tc>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仿宋"/>
                <w:b/>
                <w:bCs/>
                <w:color w:val="000000"/>
                <w:sz w:val="21"/>
                <w:szCs w:val="21"/>
              </w:rPr>
            </w:pPr>
          </w:p>
        </w:tc>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15.5</w:t>
            </w:r>
          </w:p>
        </w:tc>
      </w:tr>
      <w:tr>
        <w:tblPrEx>
          <w:tblCellMar>
            <w:top w:w="0" w:type="dxa"/>
            <w:left w:w="108" w:type="dxa"/>
            <w:bottom w:w="0" w:type="dxa"/>
            <w:right w:w="108" w:type="dxa"/>
          </w:tblCellMar>
        </w:tblPrEx>
        <w:trPr>
          <w:gridBefore w:val="1"/>
          <w:gridAfter w:val="1"/>
          <w:wBefore w:w="54" w:type="pct"/>
          <w:wAfter w:w="9" w:type="pct"/>
          <w:trHeight w:val="675" w:hRule="atLeast"/>
        </w:trPr>
        <w:tc>
          <w:tcPr>
            <w:tcW w:w="4936" w:type="pct"/>
            <w:gridSpan w:val="8"/>
            <w:tcBorders>
              <w:top w:val="nil"/>
              <w:left w:val="nil"/>
              <w:bottom w:val="nil"/>
              <w:right w:val="nil"/>
            </w:tcBorders>
            <w:shd w:val="clear" w:color="auto" w:fill="auto"/>
            <w:vAlign w:val="center"/>
          </w:tcPr>
          <w:p>
            <w:pPr>
              <w:widowControl/>
              <w:ind w:firstLine="0" w:firstLineChars="0"/>
              <w:jc w:val="center"/>
              <w:textAlignment w:val="center"/>
              <w:rPr>
                <w:rFonts w:ascii="宋体" w:hAnsi="宋体" w:eastAsia="宋体" w:cs="宋体"/>
                <w:b/>
                <w:bCs/>
                <w:color w:val="000000"/>
                <w:sz w:val="32"/>
                <w:szCs w:val="32"/>
              </w:rPr>
            </w:pPr>
            <w:r>
              <w:rPr>
                <w:rFonts w:eastAsia="仿宋"/>
                <w:sz w:val="21"/>
                <w:szCs w:val="21"/>
              </w:rPr>
              <w:t>表3-2：项目绩效目标表</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1941" w:type="pct"/>
            <w:gridSpan w:val="4"/>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专项（项目）名称</w:t>
            </w:r>
          </w:p>
        </w:tc>
        <w:tc>
          <w:tcPr>
            <w:tcW w:w="29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“双创”学校设施增配资金</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1941" w:type="pct"/>
            <w:gridSpan w:val="4"/>
            <w:tcBorders>
              <w:top w:val="single" w:color="000000" w:sz="4" w:space="0"/>
              <w:left w:val="single" w:color="000000" w:sz="4" w:space="0"/>
              <w:bottom w:val="single" w:color="000000" w:sz="4" w:space="0"/>
              <w:right w:val="nil"/>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主管部门</w:t>
            </w:r>
          </w:p>
        </w:tc>
        <w:tc>
          <w:tcPr>
            <w:tcW w:w="29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柞水县科技和教育体育局</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194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资金金额</w:t>
            </w:r>
            <w:r>
              <w:rPr>
                <w:rFonts w:eastAsia="仿宋"/>
                <w:color w:val="000000"/>
                <w:kern w:val="0"/>
                <w:sz w:val="21"/>
                <w:szCs w:val="21"/>
                <w:lang w:bidi="ar"/>
              </w:rPr>
              <w:br w:type="textWrapping"/>
            </w:r>
            <w:r>
              <w:rPr>
                <w:rFonts w:eastAsia="仿宋"/>
                <w:color w:val="000000"/>
                <w:kern w:val="0"/>
                <w:sz w:val="21"/>
                <w:szCs w:val="21"/>
                <w:lang w:bidi="ar"/>
              </w:rPr>
              <w:t>（万元）</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实施期资金总额：</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500</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194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其中：财政拨款</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500</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194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Style w:val="65"/>
                <w:rFonts w:hint="default" w:ascii="Times New Roman" w:hAnsi="Times New Roman" w:eastAsia="仿宋" w:cs="Times New Roman"/>
                <w:sz w:val="21"/>
                <w:szCs w:val="21"/>
                <w:lang w:bidi="ar"/>
              </w:rPr>
              <w:t>其他资金</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总</w:t>
            </w:r>
            <w:r>
              <w:rPr>
                <w:rFonts w:eastAsia="仿宋"/>
                <w:color w:val="000000"/>
                <w:kern w:val="0"/>
                <w:sz w:val="21"/>
                <w:szCs w:val="21"/>
                <w:lang w:bidi="ar"/>
              </w:rPr>
              <w:br w:type="textWrapping"/>
            </w:r>
            <w:r>
              <w:rPr>
                <w:rFonts w:eastAsia="仿宋"/>
                <w:color w:val="000000"/>
                <w:kern w:val="0"/>
                <w:sz w:val="21"/>
                <w:szCs w:val="21"/>
                <w:lang w:bidi="ar"/>
              </w:rPr>
              <w:t>体</w:t>
            </w:r>
            <w:r>
              <w:rPr>
                <w:rFonts w:eastAsia="仿宋"/>
                <w:color w:val="000000"/>
                <w:kern w:val="0"/>
                <w:sz w:val="21"/>
                <w:szCs w:val="21"/>
                <w:lang w:bidi="ar"/>
              </w:rPr>
              <w:br w:type="textWrapping"/>
            </w:r>
            <w:r>
              <w:rPr>
                <w:rFonts w:eastAsia="仿宋"/>
                <w:color w:val="000000"/>
                <w:kern w:val="0"/>
                <w:sz w:val="21"/>
                <w:szCs w:val="21"/>
                <w:lang w:bidi="ar"/>
              </w:rPr>
              <w:t>目</w:t>
            </w:r>
            <w:r>
              <w:rPr>
                <w:rFonts w:eastAsia="仿宋"/>
                <w:color w:val="000000"/>
                <w:kern w:val="0"/>
                <w:sz w:val="21"/>
                <w:szCs w:val="21"/>
                <w:lang w:bidi="ar"/>
              </w:rPr>
              <w:br w:type="textWrapping"/>
            </w:r>
            <w:r>
              <w:rPr>
                <w:rFonts w:eastAsia="仿宋"/>
                <w:color w:val="000000"/>
                <w:kern w:val="0"/>
                <w:sz w:val="21"/>
                <w:szCs w:val="21"/>
                <w:lang w:bidi="ar"/>
              </w:rPr>
              <w:t>标</w:t>
            </w:r>
          </w:p>
        </w:tc>
        <w:tc>
          <w:tcPr>
            <w:tcW w:w="438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年度目标</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4386" w:type="pct"/>
            <w:gridSpan w:val="7"/>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420"/>
              <w:jc w:val="both"/>
              <w:textAlignment w:val="top"/>
              <w:rPr>
                <w:rFonts w:eastAsia="仿宋"/>
                <w:color w:val="000000"/>
                <w:sz w:val="21"/>
                <w:szCs w:val="21"/>
              </w:rPr>
            </w:pPr>
            <w:r>
              <w:rPr>
                <w:rFonts w:eastAsia="仿宋"/>
                <w:color w:val="000000"/>
                <w:kern w:val="0"/>
                <w:sz w:val="21"/>
                <w:szCs w:val="21"/>
                <w:lang w:bidi="ar"/>
              </w:rPr>
              <w:t>“双创”学校设施增配资金，改善办学条件，促进城乡教育均衡发展。</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绩</w:t>
            </w:r>
            <w:r>
              <w:rPr>
                <w:rFonts w:eastAsia="仿宋"/>
                <w:color w:val="000000"/>
                <w:kern w:val="0"/>
                <w:sz w:val="21"/>
                <w:szCs w:val="21"/>
                <w:lang w:bidi="ar"/>
              </w:rPr>
              <w:br w:type="textWrapping"/>
            </w:r>
            <w:r>
              <w:rPr>
                <w:rFonts w:eastAsia="仿宋"/>
                <w:color w:val="000000"/>
                <w:kern w:val="0"/>
                <w:sz w:val="21"/>
                <w:szCs w:val="21"/>
                <w:lang w:bidi="ar"/>
              </w:rPr>
              <w:t>效</w:t>
            </w:r>
            <w:r>
              <w:rPr>
                <w:rFonts w:eastAsia="仿宋"/>
                <w:color w:val="000000"/>
                <w:kern w:val="0"/>
                <w:sz w:val="21"/>
                <w:szCs w:val="21"/>
                <w:lang w:bidi="ar"/>
              </w:rPr>
              <w:br w:type="textWrapping"/>
            </w:r>
            <w:r>
              <w:rPr>
                <w:rFonts w:eastAsia="仿宋"/>
                <w:color w:val="000000"/>
                <w:kern w:val="0"/>
                <w:sz w:val="21"/>
                <w:szCs w:val="21"/>
                <w:lang w:bidi="ar"/>
              </w:rPr>
              <w:t>指</w:t>
            </w:r>
            <w:r>
              <w:rPr>
                <w:rFonts w:eastAsia="仿宋"/>
                <w:color w:val="000000"/>
                <w:kern w:val="0"/>
                <w:sz w:val="21"/>
                <w:szCs w:val="21"/>
                <w:lang w:bidi="ar"/>
              </w:rPr>
              <w:br w:type="textWrapping"/>
            </w:r>
            <w:r>
              <w:rPr>
                <w:rFonts w:eastAsia="仿宋"/>
                <w:color w:val="000000"/>
                <w:kern w:val="0"/>
                <w:sz w:val="21"/>
                <w:szCs w:val="21"/>
                <w:lang w:bidi="ar"/>
              </w:rPr>
              <w:t>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一级</w:t>
            </w:r>
            <w:r>
              <w:rPr>
                <w:rFonts w:eastAsia="仿宋"/>
                <w:color w:val="000000"/>
                <w:kern w:val="0"/>
                <w:sz w:val="21"/>
                <w:szCs w:val="21"/>
                <w:lang w:bidi="ar"/>
              </w:rPr>
              <w:br w:type="textWrapping"/>
            </w:r>
            <w:r>
              <w:rPr>
                <w:rFonts w:eastAsia="仿宋"/>
                <w:color w:val="000000"/>
                <w:kern w:val="0"/>
                <w:sz w:val="21"/>
                <w:szCs w:val="21"/>
                <w:lang w:bidi="ar"/>
              </w:rPr>
              <w:t>指标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二级指标</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指标内容</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指标值</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产</w:t>
            </w:r>
            <w:r>
              <w:rPr>
                <w:rFonts w:eastAsia="仿宋"/>
                <w:color w:val="000000"/>
                <w:kern w:val="0"/>
                <w:sz w:val="21"/>
                <w:szCs w:val="21"/>
                <w:lang w:bidi="ar"/>
              </w:rPr>
              <w:br w:type="textWrapping"/>
            </w:r>
            <w:r>
              <w:rPr>
                <w:rFonts w:eastAsia="仿宋"/>
                <w:color w:val="000000"/>
                <w:kern w:val="0"/>
                <w:sz w:val="21"/>
                <w:szCs w:val="21"/>
                <w:lang w:bidi="ar"/>
              </w:rPr>
              <w:t>出</w:t>
            </w:r>
            <w:r>
              <w:rPr>
                <w:rFonts w:eastAsia="仿宋"/>
                <w:color w:val="000000"/>
                <w:kern w:val="0"/>
                <w:sz w:val="21"/>
                <w:szCs w:val="21"/>
                <w:lang w:bidi="ar"/>
              </w:rPr>
              <w:br w:type="textWrapping"/>
            </w:r>
            <w:r>
              <w:rPr>
                <w:rFonts w:eastAsia="仿宋"/>
                <w:color w:val="000000"/>
                <w:kern w:val="0"/>
                <w:sz w:val="21"/>
                <w:szCs w:val="21"/>
                <w:lang w:bidi="ar"/>
              </w:rPr>
              <w:t>指</w:t>
            </w:r>
            <w:r>
              <w:rPr>
                <w:rFonts w:eastAsia="仿宋"/>
                <w:color w:val="000000"/>
                <w:kern w:val="0"/>
                <w:sz w:val="21"/>
                <w:szCs w:val="21"/>
                <w:lang w:bidi="ar"/>
              </w:rPr>
              <w:br w:type="textWrapping"/>
            </w:r>
            <w:r>
              <w:rPr>
                <w:rFonts w:eastAsia="仿宋"/>
                <w:color w:val="000000"/>
                <w:kern w:val="0"/>
                <w:sz w:val="21"/>
                <w:szCs w:val="21"/>
                <w:lang w:bidi="ar"/>
              </w:rPr>
              <w:t>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数量指标</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涉及学校所数</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10所</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质量指标</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各项设备质量</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合格</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时效指标</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实施时间</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2022年</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成本指标</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资金总额（万元）</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500</w:t>
            </w:r>
          </w:p>
        </w:tc>
      </w:tr>
      <w:tr>
        <w:tblPrEx>
          <w:tblCellMar>
            <w:top w:w="0" w:type="dxa"/>
            <w:left w:w="108" w:type="dxa"/>
            <w:bottom w:w="0" w:type="dxa"/>
            <w:right w:w="108" w:type="dxa"/>
          </w:tblCellMar>
        </w:tblPrEx>
        <w:trPr>
          <w:gridBefore w:val="1"/>
          <w:gridAfter w:val="1"/>
          <w:wBefore w:w="54" w:type="pct"/>
          <w:wAfter w:w="9" w:type="pct"/>
          <w:trHeight w:val="90"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效</w:t>
            </w:r>
            <w:r>
              <w:rPr>
                <w:rFonts w:eastAsia="仿宋"/>
                <w:color w:val="000000"/>
                <w:kern w:val="0"/>
                <w:sz w:val="21"/>
                <w:szCs w:val="21"/>
                <w:lang w:bidi="ar"/>
              </w:rPr>
              <w:br w:type="textWrapping"/>
            </w:r>
            <w:r>
              <w:rPr>
                <w:rFonts w:eastAsia="仿宋"/>
                <w:color w:val="000000"/>
                <w:kern w:val="0"/>
                <w:sz w:val="21"/>
                <w:szCs w:val="21"/>
                <w:lang w:bidi="ar"/>
              </w:rPr>
              <w:t>益</w:t>
            </w:r>
            <w:r>
              <w:rPr>
                <w:rFonts w:eastAsia="仿宋"/>
                <w:color w:val="000000"/>
                <w:kern w:val="0"/>
                <w:sz w:val="21"/>
                <w:szCs w:val="21"/>
                <w:lang w:bidi="ar"/>
              </w:rPr>
              <w:br w:type="textWrapping"/>
            </w:r>
            <w:r>
              <w:rPr>
                <w:rFonts w:eastAsia="仿宋"/>
                <w:color w:val="000000"/>
                <w:kern w:val="0"/>
                <w:sz w:val="21"/>
                <w:szCs w:val="21"/>
                <w:lang w:bidi="ar"/>
              </w:rPr>
              <w:t>指</w:t>
            </w:r>
            <w:r>
              <w:rPr>
                <w:rFonts w:eastAsia="仿宋"/>
                <w:color w:val="000000"/>
                <w:kern w:val="0"/>
                <w:sz w:val="21"/>
                <w:szCs w:val="21"/>
                <w:lang w:bidi="ar"/>
              </w:rPr>
              <w:br w:type="textWrapping"/>
            </w:r>
            <w:r>
              <w:rPr>
                <w:rFonts w:eastAsia="仿宋"/>
                <w:color w:val="000000"/>
                <w:kern w:val="0"/>
                <w:sz w:val="21"/>
                <w:szCs w:val="21"/>
                <w:lang w:bidi="ar"/>
              </w:rPr>
              <w:t>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社会效益</w:t>
            </w:r>
            <w:r>
              <w:rPr>
                <w:rFonts w:eastAsia="仿宋"/>
                <w:color w:val="000000"/>
                <w:kern w:val="0"/>
                <w:sz w:val="21"/>
                <w:szCs w:val="21"/>
                <w:lang w:bidi="ar"/>
              </w:rPr>
              <w:br w:type="textWrapping"/>
            </w:r>
            <w:r>
              <w:rPr>
                <w:rFonts w:eastAsia="仿宋"/>
                <w:color w:val="000000"/>
                <w:kern w:val="0"/>
                <w:sz w:val="21"/>
                <w:szCs w:val="21"/>
                <w:lang w:bidi="ar"/>
              </w:rPr>
              <w:t>指标</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指标1：改善办学条件学校所数</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10所</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可持续影响</w:t>
            </w:r>
            <w:r>
              <w:rPr>
                <w:rFonts w:eastAsia="仿宋"/>
                <w:color w:val="000000"/>
                <w:kern w:val="0"/>
                <w:sz w:val="21"/>
                <w:szCs w:val="21"/>
                <w:lang w:bidi="ar"/>
              </w:rPr>
              <w:br w:type="textWrapping"/>
            </w:r>
            <w:r>
              <w:rPr>
                <w:rFonts w:eastAsia="仿宋"/>
                <w:color w:val="000000"/>
                <w:kern w:val="0"/>
                <w:sz w:val="21"/>
                <w:szCs w:val="21"/>
                <w:lang w:bidi="ar"/>
              </w:rPr>
              <w:t>指标</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指标1：发挥效应年限</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10年</w:t>
            </w:r>
          </w:p>
        </w:tc>
      </w:tr>
      <w:tr>
        <w:tblPrEx>
          <w:tblCellMar>
            <w:top w:w="0" w:type="dxa"/>
            <w:left w:w="108" w:type="dxa"/>
            <w:bottom w:w="0" w:type="dxa"/>
            <w:right w:w="108" w:type="dxa"/>
          </w:tblCellMar>
        </w:tblPrEx>
        <w:trPr>
          <w:gridBefore w:val="1"/>
          <w:gridAfter w:val="1"/>
          <w:wBefore w:w="54" w:type="pct"/>
          <w:wAfter w:w="9" w:type="pct"/>
          <w:trHeight w:val="397" w:hRule="atLeast"/>
        </w:trPr>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center"/>
              <w:rPr>
                <w:rFonts w:eastAsia="仿宋"/>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满意度指标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服务对象</w:t>
            </w:r>
            <w:r>
              <w:rPr>
                <w:rFonts w:eastAsia="仿宋"/>
                <w:color w:val="000000"/>
                <w:kern w:val="0"/>
                <w:sz w:val="21"/>
                <w:szCs w:val="21"/>
                <w:lang w:bidi="ar"/>
              </w:rPr>
              <w:br w:type="textWrapping"/>
            </w:r>
            <w:r>
              <w:rPr>
                <w:rFonts w:eastAsia="仿宋"/>
                <w:color w:val="000000"/>
                <w:kern w:val="0"/>
                <w:sz w:val="21"/>
                <w:szCs w:val="21"/>
                <w:lang w:bidi="ar"/>
              </w:rPr>
              <w:t>满意度指标</w:t>
            </w:r>
          </w:p>
        </w:tc>
        <w:tc>
          <w:tcPr>
            <w:tcW w:w="19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指标1：相关学校满意度</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20"/>
              <w:jc w:val="center"/>
              <w:textAlignment w:val="center"/>
              <w:rPr>
                <w:rFonts w:eastAsia="仿宋"/>
                <w:color w:val="000000"/>
                <w:sz w:val="21"/>
                <w:szCs w:val="21"/>
              </w:rPr>
            </w:pPr>
            <w:r>
              <w:rPr>
                <w:rFonts w:eastAsia="仿宋"/>
                <w:color w:val="000000"/>
                <w:kern w:val="0"/>
                <w:sz w:val="21"/>
                <w:szCs w:val="21"/>
                <w:lang w:bidi="ar"/>
              </w:rPr>
              <w:t>≥95%</w:t>
            </w:r>
          </w:p>
        </w:tc>
      </w:tr>
    </w:tbl>
    <w:p>
      <w:pPr>
        <w:pStyle w:val="59"/>
        <w:ind w:firstLine="560"/>
        <w:rPr>
          <w:rFonts w:cs="Times New Roman"/>
        </w:rPr>
      </w:pPr>
      <w:r>
        <w:rPr>
          <w:rFonts w:hint="eastAsia" w:cs="Times New Roman"/>
        </w:rPr>
        <w:t>绩效指标的设置，除了效益指标中的社会效益和可持续影响指标外，均为量化指标，绩效指标量化率达到70%以上，在现实条件下易获取。但是，指标的设置存在一下问题：</w:t>
      </w:r>
    </w:p>
    <w:p>
      <w:pPr>
        <w:pStyle w:val="21"/>
        <w:spacing w:line="360" w:lineRule="auto"/>
        <w:ind w:left="0" w:leftChars="0" w:firstLine="560"/>
        <w:rPr>
          <w:rFonts w:hAnsi="Times New Roman" w:eastAsia="仿宋_GB2312"/>
          <w:szCs w:val="22"/>
        </w:rPr>
      </w:pPr>
      <w:r>
        <w:rPr>
          <w:rFonts w:hint="eastAsia" w:hAnsi="Times New Roman" w:eastAsia="仿宋_GB2312"/>
          <w:szCs w:val="22"/>
        </w:rPr>
        <w:t>①时效指标设置不符合要求。时效指标的设定应按照立项批复文件或是采购计划、学校要求仪器设备进场时间来设定项目完成日期。</w:t>
      </w:r>
    </w:p>
    <w:p>
      <w:pPr>
        <w:pStyle w:val="21"/>
        <w:spacing w:line="360" w:lineRule="auto"/>
        <w:ind w:left="0" w:leftChars="0" w:firstLine="560"/>
        <w:rPr>
          <w:rFonts w:hAnsi="Times New Roman" w:eastAsia="仿宋_GB2312"/>
          <w:szCs w:val="22"/>
        </w:rPr>
      </w:pPr>
      <w:r>
        <w:rPr>
          <w:rFonts w:hint="eastAsia" w:hAnsi="Times New Roman" w:eastAsia="仿宋_GB2312"/>
          <w:szCs w:val="22"/>
        </w:rPr>
        <w:t>②可持续影响指标设置不符合要求。可持续影响指标是项目后续运行及成效发挥的可持续影响情况。本项目应从后续仪器设备损坏、故障维修更换等方面来设定三级指标。</w:t>
      </w:r>
    </w:p>
    <w:p>
      <w:pPr>
        <w:pStyle w:val="59"/>
        <w:ind w:firstLine="560"/>
        <w:rPr>
          <w:rFonts w:cs="Times New Roman"/>
        </w:rPr>
      </w:pPr>
      <w:r>
        <w:rPr>
          <w:rFonts w:cs="Times New Roman"/>
        </w:rPr>
        <w:t>预算编制科学性：</w:t>
      </w:r>
      <w:r>
        <w:rPr>
          <w:rFonts w:hint="eastAsia" w:cs="Times New Roman"/>
        </w:rPr>
        <w:t>该项目具备柞水县城区第一初级中学、柞水县城区第二初级中学、柞水县红岩寺中学等10所学校的项目申报表，内容涵盖项目名称、数量及主要用途、预算金额以及设备购置必要性。依据测算金额，按规定流程向县教体局和财政局申报购置各子项目所需教学仪器设备，并获得相关部门的批准，具备一定的科学性。</w:t>
      </w:r>
    </w:p>
    <w:p>
      <w:pPr>
        <w:pStyle w:val="59"/>
        <w:ind w:firstLine="560"/>
        <w:rPr>
          <w:rFonts w:cs="Times New Roman"/>
        </w:rPr>
      </w:pPr>
      <w:bookmarkStart w:id="81" w:name="_Hlk23411120"/>
      <w:r>
        <w:rPr>
          <w:rFonts w:cs="Times New Roman"/>
        </w:rPr>
        <w:t>项目管理指标是从资金管理和组织实施两个方面进行考核，项目管理类指标分值共计25分，实际得分为</w:t>
      </w:r>
      <w:r>
        <w:rPr>
          <w:rFonts w:hint="eastAsia" w:cs="Times New Roman"/>
        </w:rPr>
        <w:t>25</w:t>
      </w:r>
      <w:r>
        <w:rPr>
          <w:rFonts w:cs="Times New Roman"/>
        </w:rPr>
        <w:t>分，得分率为</w:t>
      </w:r>
      <w:r>
        <w:rPr>
          <w:rFonts w:hint="eastAsia" w:cs="Times New Roman"/>
        </w:rPr>
        <w:t>100</w:t>
      </w:r>
      <w:r>
        <w:rPr>
          <w:rFonts w:cs="Times New Roman"/>
        </w:rPr>
        <w:t>%。各指标得分情况如表3-</w:t>
      </w:r>
      <w:r>
        <w:rPr>
          <w:rFonts w:hint="eastAsia" w:cs="Times New Roman"/>
        </w:rPr>
        <w:t>3</w:t>
      </w:r>
      <w:r>
        <w:rPr>
          <w:rFonts w:cs="Times New Roman"/>
        </w:rPr>
        <w:t>所示。</w:t>
      </w:r>
    </w:p>
    <w:p>
      <w:pPr>
        <w:ind w:firstLine="0" w:firstLineChars="0"/>
        <w:jc w:val="center"/>
        <w:rPr>
          <w:rFonts w:eastAsia="仿宋"/>
          <w:sz w:val="21"/>
          <w:szCs w:val="21"/>
        </w:rPr>
      </w:pPr>
      <w:r>
        <w:rPr>
          <w:rFonts w:eastAsia="仿宋"/>
          <w:sz w:val="21"/>
          <w:szCs w:val="21"/>
        </w:rPr>
        <w:t>表3-</w:t>
      </w:r>
      <w:r>
        <w:rPr>
          <w:rFonts w:hint="eastAsia" w:eastAsia="仿宋"/>
          <w:sz w:val="21"/>
          <w:szCs w:val="21"/>
        </w:rPr>
        <w:t>3</w:t>
      </w:r>
      <w:r>
        <w:rPr>
          <w:rFonts w:eastAsia="仿宋"/>
          <w:sz w:val="21"/>
          <w:szCs w:val="21"/>
        </w:rPr>
        <w:t>：项目管理类指标评分结果汇总表</w:t>
      </w:r>
    </w:p>
    <w:tbl>
      <w:tblPr>
        <w:tblStyle w:val="22"/>
        <w:tblW w:w="4998" w:type="pct"/>
        <w:tblInd w:w="0" w:type="dxa"/>
        <w:tblLayout w:type="autofit"/>
        <w:tblCellMar>
          <w:top w:w="0" w:type="dxa"/>
          <w:left w:w="108" w:type="dxa"/>
          <w:bottom w:w="0" w:type="dxa"/>
          <w:right w:w="108" w:type="dxa"/>
        </w:tblCellMar>
      </w:tblPr>
      <w:tblGrid>
        <w:gridCol w:w="3273"/>
        <w:gridCol w:w="1758"/>
        <w:gridCol w:w="2294"/>
        <w:gridCol w:w="1913"/>
      </w:tblGrid>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rPr>
                <w:rFonts w:eastAsia="仿宋"/>
                <w:b/>
                <w:bCs/>
                <w:color w:val="000000"/>
                <w:sz w:val="21"/>
                <w:szCs w:val="21"/>
              </w:rPr>
            </w:pPr>
            <w:r>
              <w:rPr>
                <w:rFonts w:eastAsia="仿宋"/>
                <w:sz w:val="21"/>
                <w:szCs w:val="21"/>
              </w:rPr>
              <w:br w:type="page"/>
            </w:r>
            <w:r>
              <w:rPr>
                <w:rFonts w:eastAsia="仿宋"/>
                <w:b/>
                <w:bCs/>
                <w:color w:val="000000"/>
                <w:kern w:val="0"/>
                <w:sz w:val="21"/>
                <w:szCs w:val="21"/>
                <w:lang w:bidi="ar"/>
              </w:rPr>
              <w:t>指标名称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指标权重</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业绩值</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绩效值</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eastAsia="仿宋"/>
                <w:b/>
                <w:bCs/>
                <w:color w:val="000000"/>
                <w:sz w:val="21"/>
                <w:szCs w:val="21"/>
              </w:rPr>
            </w:pPr>
            <w:r>
              <w:rPr>
                <w:rFonts w:eastAsia="仿宋"/>
                <w:b/>
                <w:bCs/>
                <w:color w:val="000000"/>
                <w:kern w:val="0"/>
                <w:sz w:val="21"/>
                <w:szCs w:val="21"/>
                <w:lang w:bidi="ar"/>
              </w:rPr>
              <w:t>B1资金管理</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15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eastAsia="仿宋"/>
                <w:b/>
                <w:bCs/>
                <w:color w:val="000000"/>
                <w:sz w:val="21"/>
                <w:szCs w:val="21"/>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hint="eastAsia" w:eastAsia="仿宋"/>
                <w:b/>
                <w:bCs/>
                <w:color w:val="000000"/>
                <w:sz w:val="21"/>
                <w:szCs w:val="21"/>
              </w:rPr>
              <w:t>15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B11资金到位率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100%</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B12预算执行率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hint="eastAsia" w:eastAsia="仿宋"/>
                <w:color w:val="000000"/>
                <w:sz w:val="21"/>
                <w:szCs w:val="21"/>
              </w:rPr>
              <w:t>95.68%</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hint="eastAsia" w:eastAsia="仿宋"/>
                <w:color w:val="000000"/>
                <w:sz w:val="21"/>
                <w:szCs w:val="21"/>
              </w:rPr>
              <w:t>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B13资金使用合规性</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合规</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eastAsia="仿宋"/>
                <w:b/>
                <w:bCs/>
                <w:color w:val="000000"/>
                <w:sz w:val="21"/>
                <w:szCs w:val="21"/>
              </w:rPr>
            </w:pPr>
            <w:r>
              <w:rPr>
                <w:rFonts w:eastAsia="仿宋"/>
                <w:b/>
                <w:bCs/>
                <w:color w:val="000000"/>
                <w:kern w:val="0"/>
                <w:sz w:val="21"/>
                <w:szCs w:val="21"/>
                <w:lang w:bidi="ar"/>
              </w:rPr>
              <w:t>B2组织实施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10</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eastAsia="仿宋"/>
                <w:b/>
                <w:bCs/>
                <w:color w:val="000000"/>
                <w:sz w:val="21"/>
                <w:szCs w:val="21"/>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10</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B21管理制度健全性</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健全</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textAlignment w:val="center"/>
              <w:rPr>
                <w:rFonts w:eastAsia="仿宋"/>
                <w:color w:val="000000"/>
                <w:sz w:val="21"/>
                <w:szCs w:val="21"/>
              </w:rPr>
            </w:pPr>
            <w:r>
              <w:rPr>
                <w:rFonts w:eastAsia="仿宋"/>
                <w:color w:val="000000"/>
                <w:kern w:val="0"/>
                <w:sz w:val="21"/>
                <w:szCs w:val="21"/>
                <w:lang w:bidi="ar"/>
              </w:rPr>
              <w:t>B22制度执行有效性</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sz w:val="21"/>
                <w:szCs w:val="21"/>
              </w:rPr>
              <w:t>执行到位</w:t>
            </w: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trPr>
        <w:tc>
          <w:tcPr>
            <w:tcW w:w="17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合计</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25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eastAsia="仿宋"/>
                <w:b/>
                <w:bCs/>
                <w:color w:val="000000"/>
                <w:sz w:val="21"/>
                <w:szCs w:val="21"/>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eastAsia="仿宋"/>
                <w:b/>
                <w:bCs/>
                <w:color w:val="000000"/>
                <w:sz w:val="21"/>
                <w:szCs w:val="21"/>
              </w:rPr>
            </w:pPr>
            <w:r>
              <w:rPr>
                <w:rFonts w:hint="eastAsia" w:eastAsia="仿宋"/>
                <w:b/>
                <w:bCs/>
                <w:color w:val="000000"/>
                <w:sz w:val="21"/>
                <w:szCs w:val="21"/>
              </w:rPr>
              <w:t>25</w:t>
            </w:r>
          </w:p>
        </w:tc>
      </w:tr>
      <w:bookmarkEnd w:id="81"/>
    </w:tbl>
    <w:p>
      <w:pPr>
        <w:ind w:firstLine="560"/>
      </w:pPr>
      <w:r>
        <w:t>资金使用合规性：</w:t>
      </w:r>
      <w:r>
        <w:rPr>
          <w:bCs/>
        </w:rPr>
        <w:t>评价人员通过查阅项目相关财务资料可知，本次项目资金的使用均符合相关财务管理制度规定；资金拨付有完整的审批程序；资金均用于</w:t>
      </w:r>
      <w:r>
        <w:rPr>
          <w:rFonts w:hint="eastAsia"/>
        </w:rPr>
        <w:t>柞水县2021年双创学校设施设备增配项目</w:t>
      </w:r>
      <w:r>
        <w:t>上</w:t>
      </w:r>
      <w:r>
        <w:rPr>
          <w:bCs/>
        </w:rPr>
        <w:t>，符合项目预算批复及资金下达文件；资金支出不存在截留、挤占、挪用、虚列支出的情况，相关费用支出经济合理。</w:t>
      </w:r>
    </w:p>
    <w:p>
      <w:pPr>
        <w:pStyle w:val="59"/>
        <w:ind w:firstLine="560"/>
        <w:rPr>
          <w:rFonts w:cs="Times New Roman"/>
        </w:rPr>
      </w:pPr>
      <w:r>
        <w:rPr>
          <w:rFonts w:cs="Times New Roman"/>
        </w:rPr>
        <w:t>制度执行有效性：经核查，</w:t>
      </w:r>
      <w:r>
        <w:rPr>
          <w:rFonts w:hint="eastAsia"/>
          <w:bCs/>
        </w:rPr>
        <w:t>柞水县2021年双创学校设施设备增配项目</w:t>
      </w:r>
      <w:r>
        <w:rPr>
          <w:rFonts w:cs="Times New Roman"/>
        </w:rPr>
        <w:t>的申报、批复程序</w:t>
      </w:r>
      <w:r>
        <w:rPr>
          <w:rFonts w:hint="eastAsia" w:cs="Times New Roman"/>
        </w:rPr>
        <w:t>按照</w:t>
      </w:r>
      <w:r>
        <w:rPr>
          <w:rFonts w:hint="eastAsia"/>
        </w:rPr>
        <w:t>柞水县</w:t>
      </w:r>
      <w:r>
        <w:t>科技与教育体育局财务管理制度</w:t>
      </w:r>
      <w:r>
        <w:rPr>
          <w:rFonts w:cs="Times New Roman"/>
        </w:rPr>
        <w:t>文件进行</w:t>
      </w:r>
      <w:r>
        <w:rPr>
          <w:rFonts w:hint="eastAsia" w:cs="Times New Roman"/>
        </w:rPr>
        <w:t>议标确定</w:t>
      </w:r>
      <w:r>
        <w:rPr>
          <w:rFonts w:cs="Times New Roman"/>
        </w:rPr>
        <w:t>。项目财务管理由分管领导和财务室负责，根据</w:t>
      </w:r>
      <w:r>
        <w:rPr>
          <w:rFonts w:hint="eastAsia"/>
        </w:rPr>
        <w:t>柞水县科技与教育体育局</w:t>
      </w:r>
      <w:r>
        <w:t>《</w:t>
      </w:r>
      <w:r>
        <w:rPr>
          <w:rFonts w:hint="eastAsia"/>
        </w:rPr>
        <w:t>财务管理制度</w:t>
      </w:r>
      <w:r>
        <w:t>》</w:t>
      </w:r>
      <w:r>
        <w:rPr>
          <w:rFonts w:cs="Times New Roman"/>
        </w:rPr>
        <w:t>文件实行</w:t>
      </w:r>
      <w:r>
        <w:rPr>
          <w:rFonts w:cs="Times New Roman"/>
          <w:lang w:val="en"/>
        </w:rPr>
        <w:t>分项目单独作帐、统一管理的财务管理模式，对项目资金设立专户专账，做到专款专用、专人管理。</w:t>
      </w:r>
    </w:p>
    <w:p>
      <w:pPr>
        <w:pStyle w:val="59"/>
        <w:ind w:firstLine="560"/>
        <w:rPr>
          <w:rFonts w:cs="Times New Roman"/>
        </w:rPr>
      </w:pPr>
      <w:r>
        <w:rPr>
          <w:rFonts w:cs="Times New Roman"/>
        </w:rPr>
        <w:t>项目绩效类指标，反映的是项目的产出和效益，是本次绩效评价中的核心类指标。项目绩效类指标分值共计55分，实际得分为</w:t>
      </w:r>
      <w:r>
        <w:rPr>
          <w:rFonts w:hint="eastAsia" w:cs="Times New Roman"/>
        </w:rPr>
        <w:t>53.73</w:t>
      </w:r>
      <w:r>
        <w:rPr>
          <w:rFonts w:cs="Times New Roman"/>
        </w:rPr>
        <w:t>分，得分率为</w:t>
      </w:r>
      <w:r>
        <w:rPr>
          <w:rFonts w:hint="eastAsia" w:cs="Times New Roman"/>
        </w:rPr>
        <w:t>97.69</w:t>
      </w:r>
      <w:r>
        <w:rPr>
          <w:rFonts w:cs="Times New Roman"/>
        </w:rPr>
        <w:t>%。各指标得分情况如表3-</w:t>
      </w:r>
      <w:r>
        <w:rPr>
          <w:rFonts w:hint="eastAsia" w:cs="Times New Roman"/>
        </w:rPr>
        <w:t>4</w:t>
      </w:r>
      <w:r>
        <w:rPr>
          <w:rFonts w:cs="Times New Roman"/>
        </w:rPr>
        <w:t>所示。</w:t>
      </w:r>
    </w:p>
    <w:p>
      <w:pPr>
        <w:pStyle w:val="59"/>
        <w:ind w:firstLine="0" w:firstLineChars="0"/>
        <w:jc w:val="center"/>
        <w:rPr>
          <w:rFonts w:cs="Times New Roman"/>
          <w:sz w:val="21"/>
          <w:szCs w:val="21"/>
        </w:rPr>
      </w:pPr>
      <w:r>
        <w:rPr>
          <w:rFonts w:cs="Times New Roman"/>
          <w:sz w:val="21"/>
          <w:szCs w:val="21"/>
        </w:rPr>
        <w:t>表3-</w:t>
      </w:r>
      <w:r>
        <w:rPr>
          <w:rFonts w:hint="eastAsia" w:cs="Times New Roman"/>
          <w:sz w:val="21"/>
          <w:szCs w:val="21"/>
        </w:rPr>
        <w:t>4</w:t>
      </w:r>
      <w:r>
        <w:rPr>
          <w:rFonts w:cs="Times New Roman"/>
          <w:sz w:val="21"/>
          <w:szCs w:val="21"/>
        </w:rPr>
        <w:t>：项目绩效类指标评分结果汇总表</w:t>
      </w:r>
    </w:p>
    <w:tbl>
      <w:tblPr>
        <w:tblStyle w:val="22"/>
        <w:tblW w:w="4997" w:type="pct"/>
        <w:jc w:val="center"/>
        <w:tblLayout w:type="autofit"/>
        <w:tblCellMar>
          <w:top w:w="0" w:type="dxa"/>
          <w:left w:w="108" w:type="dxa"/>
          <w:bottom w:w="0" w:type="dxa"/>
          <w:right w:w="108" w:type="dxa"/>
        </w:tblCellMar>
      </w:tblPr>
      <w:tblGrid>
        <w:gridCol w:w="3808"/>
        <w:gridCol w:w="1692"/>
        <w:gridCol w:w="1923"/>
        <w:gridCol w:w="1813"/>
      </w:tblGrid>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指标名称</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指标权重</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业绩值</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绩效值</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C1产出</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15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仿宋"/>
                <w:b/>
                <w:bCs/>
                <w:color w:val="000000"/>
                <w:sz w:val="21"/>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15</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sz w:val="21"/>
                <w:szCs w:val="21"/>
              </w:rPr>
            </w:pPr>
            <w:r>
              <w:rPr>
                <w:rFonts w:eastAsia="仿宋"/>
                <w:color w:val="000000"/>
                <w:kern w:val="0"/>
                <w:sz w:val="21"/>
                <w:szCs w:val="21"/>
                <w:lang w:bidi="ar"/>
              </w:rPr>
              <w:t>C11</w:t>
            </w:r>
            <w:r>
              <w:rPr>
                <w:rFonts w:hint="eastAsia" w:eastAsia="仿宋"/>
                <w:color w:val="000000"/>
                <w:kern w:val="0"/>
                <w:sz w:val="21"/>
                <w:szCs w:val="21"/>
                <w:lang w:bidi="ar"/>
              </w:rPr>
              <w:t>采购完成率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100%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eastAsia="仿宋"/>
                <w:color w:val="000000"/>
                <w:kern w:val="0"/>
                <w:sz w:val="21"/>
                <w:szCs w:val="21"/>
                <w:lang w:bidi="ar"/>
              </w:rPr>
              <w:t>5</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sz w:val="21"/>
                <w:szCs w:val="21"/>
              </w:rPr>
            </w:pPr>
            <w:r>
              <w:rPr>
                <w:rFonts w:eastAsia="仿宋"/>
                <w:color w:val="000000"/>
                <w:kern w:val="0"/>
                <w:sz w:val="21"/>
                <w:szCs w:val="21"/>
                <w:lang w:bidi="ar"/>
              </w:rPr>
              <w:t>C12完成及时</w:t>
            </w:r>
            <w:r>
              <w:rPr>
                <w:rFonts w:hint="eastAsia" w:eastAsia="仿宋"/>
                <w:color w:val="000000"/>
                <w:kern w:val="0"/>
                <w:sz w:val="21"/>
                <w:szCs w:val="21"/>
                <w:lang w:bidi="ar"/>
              </w:rPr>
              <w:t>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5</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sz w:val="21"/>
                <w:szCs w:val="21"/>
              </w:rPr>
            </w:pPr>
            <w:r>
              <w:rPr>
                <w:rFonts w:eastAsia="仿宋"/>
                <w:color w:val="000000"/>
                <w:kern w:val="0"/>
                <w:sz w:val="21"/>
                <w:szCs w:val="21"/>
                <w:lang w:bidi="ar"/>
              </w:rPr>
              <w:t>C13验收合格率</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100%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kern w:val="0"/>
                <w:sz w:val="21"/>
                <w:szCs w:val="21"/>
                <w:lang w:bidi="ar"/>
              </w:rPr>
              <w:t>5</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eastAsia="仿宋"/>
                <w:b/>
                <w:bCs/>
                <w:color w:val="000000"/>
                <w:sz w:val="21"/>
                <w:szCs w:val="21"/>
              </w:rPr>
            </w:pPr>
            <w:r>
              <w:rPr>
                <w:rFonts w:eastAsia="仿宋"/>
                <w:b/>
                <w:bCs/>
                <w:color w:val="000000"/>
                <w:kern w:val="0"/>
                <w:sz w:val="21"/>
                <w:szCs w:val="21"/>
                <w:lang w:bidi="ar"/>
              </w:rPr>
              <w:t>C2效益</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4</w:t>
            </w:r>
            <w:r>
              <w:rPr>
                <w:rFonts w:eastAsia="仿宋"/>
                <w:b/>
                <w:bCs/>
                <w:color w:val="000000"/>
                <w:sz w:val="21"/>
                <w:szCs w:val="21"/>
              </w:rPr>
              <w:t>0</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仿宋"/>
                <w:b/>
                <w:bCs/>
                <w:color w:val="000000"/>
                <w:sz w:val="21"/>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hint="eastAsia" w:eastAsia="仿宋"/>
                <w:b/>
                <w:bCs/>
                <w:color w:val="000000"/>
                <w:kern w:val="0"/>
                <w:sz w:val="21"/>
                <w:szCs w:val="21"/>
                <w:lang w:bidi="ar"/>
              </w:rPr>
              <w:t>38.73</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kern w:val="0"/>
                <w:sz w:val="21"/>
                <w:szCs w:val="21"/>
                <w:lang w:bidi="ar"/>
              </w:rPr>
            </w:pPr>
            <w:r>
              <w:rPr>
                <w:rFonts w:eastAsia="仿宋"/>
                <w:color w:val="000000"/>
                <w:kern w:val="0"/>
                <w:sz w:val="21"/>
                <w:szCs w:val="21"/>
                <w:lang w:bidi="ar"/>
              </w:rPr>
              <w:t>C21</w:t>
            </w:r>
            <w:r>
              <w:rPr>
                <w:rFonts w:hint="eastAsia" w:eastAsia="仿宋"/>
                <w:color w:val="000000"/>
                <w:kern w:val="0"/>
                <w:sz w:val="21"/>
                <w:szCs w:val="21"/>
                <w:lang w:bidi="ar"/>
              </w:rPr>
              <w:t>项目</w:t>
            </w:r>
            <w:r>
              <w:rPr>
                <w:rFonts w:eastAsia="仿宋"/>
                <w:color w:val="000000"/>
                <w:kern w:val="0"/>
                <w:sz w:val="21"/>
                <w:szCs w:val="21"/>
                <w:lang w:bidi="ar"/>
              </w:rPr>
              <w:t>效益</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15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88.01%</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14.70</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kern w:val="0"/>
                <w:sz w:val="21"/>
                <w:szCs w:val="21"/>
                <w:lang w:bidi="ar"/>
              </w:rPr>
            </w:pPr>
            <w:r>
              <w:rPr>
                <w:rFonts w:eastAsia="仿宋"/>
                <w:color w:val="000000"/>
                <w:kern w:val="0"/>
                <w:sz w:val="21"/>
                <w:szCs w:val="21"/>
                <w:lang w:bidi="ar"/>
              </w:rPr>
              <w:t>C22</w:t>
            </w:r>
            <w:r>
              <w:rPr>
                <w:rFonts w:hint="eastAsia" w:eastAsia="仿宋"/>
                <w:color w:val="000000"/>
                <w:kern w:val="0"/>
                <w:sz w:val="21"/>
                <w:szCs w:val="21"/>
                <w:lang w:bidi="ar"/>
              </w:rPr>
              <w:t>可持续发展</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15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较好</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hint="eastAsia" w:eastAsia="仿宋"/>
                <w:color w:val="000000"/>
                <w:sz w:val="21"/>
                <w:szCs w:val="21"/>
              </w:rPr>
              <w:t>14.5</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textAlignment w:val="center"/>
              <w:rPr>
                <w:rFonts w:eastAsia="仿宋"/>
                <w:color w:val="000000"/>
                <w:kern w:val="0"/>
                <w:sz w:val="21"/>
                <w:szCs w:val="21"/>
                <w:lang w:bidi="ar"/>
              </w:rPr>
            </w:pPr>
            <w:r>
              <w:rPr>
                <w:rFonts w:eastAsia="仿宋"/>
                <w:color w:val="000000"/>
                <w:kern w:val="0"/>
                <w:sz w:val="21"/>
                <w:szCs w:val="21"/>
                <w:lang w:bidi="ar"/>
              </w:rPr>
              <w:t>C2</w:t>
            </w:r>
            <w:r>
              <w:rPr>
                <w:rFonts w:hint="eastAsia" w:eastAsia="仿宋"/>
                <w:color w:val="000000"/>
                <w:kern w:val="0"/>
                <w:sz w:val="21"/>
                <w:szCs w:val="21"/>
                <w:lang w:bidi="ar"/>
              </w:rPr>
              <w:t>3</w:t>
            </w:r>
            <w:r>
              <w:rPr>
                <w:rFonts w:eastAsia="仿宋"/>
                <w:color w:val="000000"/>
                <w:kern w:val="0"/>
                <w:sz w:val="21"/>
                <w:szCs w:val="21"/>
                <w:lang w:bidi="ar"/>
              </w:rPr>
              <w:t>满意度</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sz w:val="21"/>
                <w:szCs w:val="21"/>
              </w:rPr>
            </w:pPr>
            <w:r>
              <w:rPr>
                <w:rFonts w:eastAsia="仿宋"/>
                <w:color w:val="000000"/>
                <w:sz w:val="21"/>
                <w:szCs w:val="21"/>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kern w:val="0"/>
                <w:sz w:val="21"/>
                <w:szCs w:val="21"/>
                <w:lang w:bidi="ar"/>
              </w:rPr>
            </w:pPr>
            <w:r>
              <w:rPr>
                <w:rFonts w:hint="eastAsia" w:eastAsia="仿宋"/>
                <w:color w:val="000000"/>
                <w:kern w:val="0"/>
                <w:sz w:val="21"/>
                <w:szCs w:val="21"/>
                <w:lang w:bidi="ar"/>
              </w:rPr>
              <w:t>比较满意</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color w:val="000000"/>
                <w:kern w:val="0"/>
                <w:sz w:val="21"/>
                <w:szCs w:val="21"/>
                <w:lang w:bidi="ar"/>
              </w:rPr>
            </w:pPr>
            <w:r>
              <w:rPr>
                <w:rFonts w:hint="eastAsia" w:eastAsia="仿宋"/>
                <w:color w:val="000000"/>
                <w:kern w:val="0"/>
                <w:sz w:val="21"/>
                <w:szCs w:val="21"/>
                <w:lang w:bidi="ar"/>
              </w:rPr>
              <w:t>9.53</w:t>
            </w:r>
          </w:p>
        </w:tc>
      </w:tr>
      <w:tr>
        <w:tblPrEx>
          <w:tblCellMar>
            <w:top w:w="0" w:type="dxa"/>
            <w:left w:w="108" w:type="dxa"/>
            <w:bottom w:w="0" w:type="dxa"/>
            <w:right w:w="108" w:type="dxa"/>
          </w:tblCellMar>
        </w:tblPrEx>
        <w:trPr>
          <w:trHeight w:val="397" w:hRule="atLeast"/>
          <w:jc w:val="center"/>
        </w:trPr>
        <w:tc>
          <w:tcPr>
            <w:tcW w:w="20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合计</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55</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rFonts w:eastAsia="仿宋"/>
                <w:b/>
                <w:bCs/>
                <w:color w:val="000000"/>
                <w:sz w:val="21"/>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53.73</w:t>
            </w:r>
          </w:p>
        </w:tc>
      </w:tr>
    </w:tbl>
    <w:p>
      <w:pPr>
        <w:ind w:firstLine="560"/>
      </w:pPr>
      <w:r>
        <w:t>项目效益</w:t>
      </w:r>
      <w:r>
        <w:rPr>
          <w:rFonts w:hint="eastAsia"/>
          <w:lang w:eastAsia="zh-CN"/>
        </w:rPr>
        <w:t>：</w:t>
      </w:r>
      <w:r>
        <w:rPr>
          <w:rFonts w:hint="eastAsia"/>
        </w:rPr>
        <w:t>提升教学水平，辅助教室授课，帮助学生提高学习效率</w:t>
      </w:r>
      <w:r>
        <w:rPr>
          <w:rFonts w:hint="eastAsia"/>
          <w:lang w:eastAsia="zh-CN"/>
        </w:rPr>
        <w:t>。</w:t>
      </w:r>
      <w:r>
        <w:rPr>
          <w:rFonts w:hint="eastAsia"/>
        </w:rPr>
        <w:t>本项目涉及9所学校的教学仪器设备购置，截止绩效评价基准日，各学校教学仪器设备已完成验收并投入使用，经实地调研，各项设备运行良好。结合调查问卷结果，具体分析如下：</w:t>
      </w:r>
    </w:p>
    <w:p>
      <w:pPr>
        <w:pStyle w:val="21"/>
        <w:spacing w:line="360" w:lineRule="auto"/>
        <w:ind w:left="0" w:leftChars="0" w:firstLine="560"/>
        <w:rPr>
          <w:rFonts w:hAnsi="Times New Roman" w:eastAsia="仿宋_GB2312"/>
          <w:szCs w:val="22"/>
        </w:rPr>
      </w:pPr>
      <w:r>
        <w:rPr>
          <w:rFonts w:hint="eastAsia" w:hAnsi="Times New Roman" w:eastAsia="仿宋_GB2312"/>
          <w:szCs w:val="22"/>
        </w:rPr>
        <w:t>教师版问卷题4（单选题，有效填写人次50人次）:您认为借助上述教学器材设备，可以提升教学效果吗？对问卷答案赋予相应的权重后，进行量化分析，具体如下：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540"/>
        <w:gridCol w:w="1540"/>
        <w:gridCol w:w="1540"/>
        <w:gridCol w:w="15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选项</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非常明显</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比较明显</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一般</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不太明显</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数量</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29</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17</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2</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2</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占比</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58%</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34%</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4%</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4%</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0%</w:t>
            </w:r>
          </w:p>
        </w:tc>
      </w:tr>
    </w:tbl>
    <w:p>
      <w:pPr>
        <w:pStyle w:val="21"/>
        <w:spacing w:line="360" w:lineRule="auto"/>
        <w:ind w:left="0" w:leftChars="0" w:firstLine="560"/>
        <w:rPr>
          <w:rFonts w:hAnsi="Times New Roman" w:eastAsia="仿宋_GB2312"/>
          <w:szCs w:val="22"/>
        </w:rPr>
      </w:pPr>
      <w:r>
        <w:rPr>
          <w:rFonts w:hint="eastAsia" w:hAnsi="Times New Roman" w:eastAsia="仿宋_GB2312"/>
          <w:szCs w:val="22"/>
        </w:rPr>
        <w:t>注：提升度=非常明显100%×58%+比较明显80%×34%+一般60%×4%+不太明显30%×4%+不明显0%×0%=88.80%。</w:t>
      </w:r>
    </w:p>
    <w:p>
      <w:pPr>
        <w:pStyle w:val="21"/>
        <w:spacing w:line="360" w:lineRule="auto"/>
        <w:ind w:left="0" w:leftChars="0" w:firstLine="560"/>
        <w:rPr>
          <w:rFonts w:hAnsi="Times New Roman" w:eastAsia="仿宋_GB2312"/>
          <w:szCs w:val="22"/>
        </w:rPr>
      </w:pPr>
      <w:r>
        <w:rPr>
          <w:rFonts w:hint="eastAsia" w:hAnsi="Times New Roman" w:eastAsia="仿宋_GB2312"/>
          <w:szCs w:val="22"/>
        </w:rPr>
        <w:t>学生版问卷题12（单选题，有效填写人次500人次）：您觉得学校教学仪器设备对您学习帮助大吗？对问卷答案赋予相应的权重后，进行量化分析，具体如下：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540"/>
        <w:gridCol w:w="1540"/>
        <w:gridCol w:w="1540"/>
        <w:gridCol w:w="15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选项</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非常有帮助</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比较有帮助</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一般</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帮助不大</w:t>
            </w:r>
          </w:p>
        </w:tc>
        <w:tc>
          <w:tcPr>
            <w:tcW w:w="833" w:type="pct"/>
            <w:vAlign w:val="center"/>
          </w:tcPr>
          <w:p>
            <w:pPr>
              <w:pStyle w:val="21"/>
              <w:ind w:left="0" w:leftChars="0" w:firstLine="0" w:firstLineChars="0"/>
              <w:jc w:val="center"/>
              <w:rPr>
                <w:rFonts w:hAnsi="Times New Roman" w:eastAsia="仿宋_GB2312"/>
                <w:b/>
                <w:bCs/>
                <w:sz w:val="21"/>
                <w:szCs w:val="21"/>
              </w:rPr>
            </w:pPr>
            <w:r>
              <w:rPr>
                <w:rFonts w:hint="eastAsia" w:hAnsi="Times New Roman" w:eastAsia="仿宋_GB2312"/>
                <w:b/>
                <w:bCs/>
                <w:sz w:val="21"/>
                <w:szCs w:val="21"/>
              </w:rPr>
              <w:t>无帮助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数量</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284</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123</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86</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7</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占比</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56.8%</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24.6%</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17.2%</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1.4%</w:t>
            </w:r>
          </w:p>
        </w:tc>
        <w:tc>
          <w:tcPr>
            <w:tcW w:w="833" w:type="pct"/>
            <w:vAlign w:val="center"/>
          </w:tcPr>
          <w:p>
            <w:pPr>
              <w:pStyle w:val="21"/>
              <w:ind w:left="0" w:leftChars="0" w:firstLine="0" w:firstLineChars="0"/>
              <w:jc w:val="center"/>
              <w:rPr>
                <w:rFonts w:hAnsi="Times New Roman" w:eastAsia="仿宋_GB2312"/>
                <w:sz w:val="21"/>
                <w:szCs w:val="21"/>
              </w:rPr>
            </w:pPr>
            <w:r>
              <w:rPr>
                <w:rFonts w:hint="eastAsia" w:hAnsi="Times New Roman" w:eastAsia="仿宋_GB2312"/>
                <w:sz w:val="21"/>
                <w:szCs w:val="21"/>
              </w:rPr>
              <w:t>0%</w:t>
            </w:r>
          </w:p>
        </w:tc>
      </w:tr>
    </w:tbl>
    <w:p>
      <w:pPr>
        <w:pStyle w:val="21"/>
        <w:spacing w:line="360" w:lineRule="auto"/>
        <w:ind w:left="0" w:leftChars="0" w:firstLine="560"/>
        <w:rPr>
          <w:rFonts w:hAnsi="Times New Roman" w:eastAsia="仿宋_GB2312"/>
          <w:szCs w:val="22"/>
        </w:rPr>
      </w:pPr>
      <w:r>
        <w:rPr>
          <w:rFonts w:hint="eastAsia" w:hAnsi="Times New Roman" w:eastAsia="仿宋_GB2312"/>
          <w:szCs w:val="22"/>
        </w:rPr>
        <w:t>注：提升度=非常明显100%×56.8%+比较明显80%×24.6%+一般60%×17.2%+不太明显30%×1.4%+不明显0%×0%=87.22%。</w:t>
      </w:r>
    </w:p>
    <w:p>
      <w:pPr>
        <w:pStyle w:val="59"/>
        <w:ind w:firstLine="560"/>
      </w:pPr>
      <w:r>
        <w:rPr>
          <w:rFonts w:hint="eastAsia"/>
        </w:rPr>
        <w:t>综上，</w:t>
      </w:r>
      <w:r>
        <w:rPr>
          <w:rFonts w:eastAsia="仿宋_GB2312" w:cs="Times New Roman"/>
          <w:kern w:val="2"/>
          <w:szCs w:val="22"/>
        </w:rPr>
        <w:t>取师生调查问卷结果的算数平均值为</w:t>
      </w:r>
      <w:r>
        <w:rPr>
          <w:rFonts w:hint="eastAsia" w:eastAsia="仿宋_GB2312" w:cs="Times New Roman"/>
          <w:kern w:val="2"/>
          <w:szCs w:val="22"/>
        </w:rPr>
        <w:t>88.01</w:t>
      </w:r>
      <w:r>
        <w:rPr>
          <w:rFonts w:eastAsia="仿宋_GB2312" w:cs="Times New Roman"/>
          <w:kern w:val="2"/>
          <w:szCs w:val="22"/>
        </w:rPr>
        <w:t>%，</w:t>
      </w:r>
      <w:r>
        <w:t>根据指标评分标准，该指标满分</w:t>
      </w:r>
      <w:r>
        <w:rPr>
          <w:rFonts w:hint="eastAsia"/>
        </w:rPr>
        <w:t>15</w:t>
      </w:r>
      <w:r>
        <w:t>分</w:t>
      </w:r>
      <w:r>
        <w:rPr>
          <w:rFonts w:hint="eastAsia"/>
        </w:rPr>
        <w:t>，得14.70分。</w:t>
      </w:r>
    </w:p>
    <w:p>
      <w:pPr>
        <w:ind w:firstLine="560"/>
      </w:pPr>
      <w:r>
        <w:rPr>
          <w:rFonts w:hint="eastAsia"/>
        </w:rPr>
        <w:t>该项评价指标还可以进一步结合师生调查问卷，明确采购教学仪器设备所带来的使用效益，具体如下：教师版问卷题9（多选题，有效填写人次50人次）:您认为更齐全的教学仪器设备主要是为了更好的？</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81"/>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b/>
                <w:bCs/>
                <w:sz w:val="24"/>
                <w:szCs w:val="24"/>
              </w:rPr>
            </w:pPr>
            <w:r>
              <w:rPr>
                <w:rFonts w:eastAsia="仿宋"/>
                <w:b/>
                <w:bCs/>
                <w:sz w:val="24"/>
                <w:szCs w:val="24"/>
              </w:rPr>
              <w:t>选项</w:t>
            </w:r>
          </w:p>
        </w:tc>
        <w:tc>
          <w:tcPr>
            <w:tcW w:w="3081" w:type="dxa"/>
            <w:vAlign w:val="center"/>
          </w:tcPr>
          <w:p>
            <w:pPr>
              <w:spacing w:line="240" w:lineRule="auto"/>
              <w:ind w:firstLine="0" w:firstLineChars="0"/>
              <w:jc w:val="center"/>
              <w:rPr>
                <w:rFonts w:eastAsia="仿宋"/>
                <w:b/>
                <w:bCs/>
                <w:sz w:val="24"/>
                <w:szCs w:val="24"/>
              </w:rPr>
            </w:pPr>
            <w:r>
              <w:rPr>
                <w:rFonts w:eastAsia="仿宋"/>
                <w:b/>
                <w:bCs/>
                <w:sz w:val="24"/>
                <w:szCs w:val="24"/>
              </w:rPr>
              <w:t>数量</w:t>
            </w:r>
          </w:p>
        </w:tc>
        <w:tc>
          <w:tcPr>
            <w:tcW w:w="3081" w:type="dxa"/>
            <w:vAlign w:val="center"/>
          </w:tcPr>
          <w:p>
            <w:pPr>
              <w:spacing w:line="240" w:lineRule="auto"/>
              <w:ind w:firstLine="0" w:firstLineChars="0"/>
              <w:jc w:val="center"/>
              <w:rPr>
                <w:rFonts w:eastAsia="仿宋"/>
                <w:b/>
                <w:bCs/>
                <w:sz w:val="24"/>
                <w:szCs w:val="24"/>
              </w:rPr>
            </w:pPr>
            <w:r>
              <w:rPr>
                <w:rFonts w:eastAsia="仿宋"/>
                <w:b/>
                <w:bCs/>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客服学习难点</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43</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扩大教学容量</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31</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优化课堂结构</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46</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增强学生动手能力</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43</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改善学习方式</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36</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激发学习兴趣</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48</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其他</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1</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2%</w:t>
            </w:r>
          </w:p>
        </w:tc>
      </w:tr>
    </w:tbl>
    <w:p>
      <w:pPr>
        <w:ind w:firstLine="560"/>
      </w:pPr>
      <w:r>
        <w:rPr>
          <w:rFonts w:hint="eastAsia"/>
        </w:rPr>
        <w:t>学生版问卷题13（多选题，有效填写人次500人次）:您认为更齐全的教学仪器设备主要是为了更好的？</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81"/>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b/>
                <w:bCs/>
                <w:sz w:val="24"/>
                <w:szCs w:val="24"/>
              </w:rPr>
            </w:pPr>
            <w:r>
              <w:rPr>
                <w:rFonts w:eastAsia="仿宋"/>
                <w:b/>
                <w:bCs/>
                <w:sz w:val="24"/>
                <w:szCs w:val="24"/>
              </w:rPr>
              <w:t>选项</w:t>
            </w:r>
          </w:p>
        </w:tc>
        <w:tc>
          <w:tcPr>
            <w:tcW w:w="3081" w:type="dxa"/>
            <w:vAlign w:val="center"/>
          </w:tcPr>
          <w:p>
            <w:pPr>
              <w:spacing w:line="240" w:lineRule="auto"/>
              <w:ind w:firstLine="0" w:firstLineChars="0"/>
              <w:jc w:val="center"/>
              <w:rPr>
                <w:rFonts w:eastAsia="仿宋"/>
                <w:b/>
                <w:bCs/>
                <w:sz w:val="24"/>
                <w:szCs w:val="24"/>
              </w:rPr>
            </w:pPr>
            <w:r>
              <w:rPr>
                <w:rFonts w:eastAsia="仿宋"/>
                <w:b/>
                <w:bCs/>
                <w:sz w:val="24"/>
                <w:szCs w:val="24"/>
              </w:rPr>
              <w:t>数量</w:t>
            </w:r>
          </w:p>
        </w:tc>
        <w:tc>
          <w:tcPr>
            <w:tcW w:w="3081" w:type="dxa"/>
            <w:vAlign w:val="center"/>
          </w:tcPr>
          <w:p>
            <w:pPr>
              <w:spacing w:line="240" w:lineRule="auto"/>
              <w:ind w:firstLine="0" w:firstLineChars="0"/>
              <w:jc w:val="center"/>
              <w:rPr>
                <w:rFonts w:eastAsia="仿宋"/>
                <w:b/>
                <w:bCs/>
                <w:sz w:val="24"/>
                <w:szCs w:val="24"/>
              </w:rPr>
            </w:pPr>
            <w:r>
              <w:rPr>
                <w:rFonts w:eastAsia="仿宋"/>
                <w:b/>
                <w:bCs/>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客服学习难点</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387</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扩大教学容量</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405</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优化课堂结构</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460</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增强动手能力</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w:t>
            </w:r>
            <w:r>
              <w:rPr>
                <w:rFonts w:hint="eastAsia" w:eastAsia="仿宋"/>
                <w:sz w:val="24"/>
                <w:szCs w:val="24"/>
              </w:rPr>
              <w:t>2</w:t>
            </w:r>
            <w:r>
              <w:rPr>
                <w:rFonts w:eastAsia="仿宋"/>
                <w:sz w:val="24"/>
                <w:szCs w:val="24"/>
              </w:rPr>
              <w:t>5</w:t>
            </w:r>
          </w:p>
        </w:tc>
        <w:tc>
          <w:tcPr>
            <w:tcW w:w="3081" w:type="dxa"/>
            <w:vAlign w:val="center"/>
          </w:tcPr>
          <w:p>
            <w:pPr>
              <w:spacing w:line="240" w:lineRule="auto"/>
              <w:ind w:firstLine="0" w:firstLineChars="0"/>
              <w:jc w:val="center"/>
              <w:rPr>
                <w:rFonts w:eastAsia="仿宋"/>
                <w:sz w:val="24"/>
                <w:szCs w:val="24"/>
              </w:rPr>
            </w:pPr>
            <w:r>
              <w:rPr>
                <w:rFonts w:hint="eastAsia" w:eastAsia="仿宋"/>
                <w:sz w:val="24"/>
                <w:szCs w:val="24"/>
              </w:rPr>
              <w:t>85</w:t>
            </w:r>
            <w:r>
              <w:rPr>
                <w:rFonts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改善学习方式</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398</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激发学习兴趣</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w:t>
            </w:r>
            <w:r>
              <w:rPr>
                <w:rFonts w:hint="eastAsia" w:eastAsia="仿宋"/>
                <w:sz w:val="24"/>
                <w:szCs w:val="24"/>
              </w:rPr>
              <w:t>8</w:t>
            </w:r>
            <w:r>
              <w:rPr>
                <w:rFonts w:eastAsia="仿宋"/>
                <w:sz w:val="24"/>
                <w:szCs w:val="24"/>
              </w:rPr>
              <w:t>3</w:t>
            </w:r>
          </w:p>
        </w:tc>
        <w:tc>
          <w:tcPr>
            <w:tcW w:w="3081" w:type="dxa"/>
            <w:vAlign w:val="center"/>
          </w:tcPr>
          <w:p>
            <w:pPr>
              <w:spacing w:line="240" w:lineRule="auto"/>
              <w:ind w:firstLine="0" w:firstLineChars="0"/>
              <w:jc w:val="center"/>
              <w:rPr>
                <w:rFonts w:eastAsia="仿宋"/>
                <w:sz w:val="24"/>
                <w:szCs w:val="24"/>
              </w:rPr>
            </w:pPr>
            <w:r>
              <w:rPr>
                <w:rFonts w:hint="eastAsia" w:eastAsia="仿宋"/>
                <w:sz w:val="24"/>
                <w:szCs w:val="24"/>
              </w:rPr>
              <w:t>96</w:t>
            </w:r>
            <w:r>
              <w:rPr>
                <w:rFonts w:eastAsia="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增加学习负担</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23</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0" w:type="dxa"/>
            <w:vAlign w:val="center"/>
          </w:tcPr>
          <w:p>
            <w:pPr>
              <w:spacing w:line="240" w:lineRule="auto"/>
              <w:ind w:firstLine="0" w:firstLineChars="0"/>
              <w:jc w:val="center"/>
              <w:rPr>
                <w:rFonts w:eastAsia="仿宋"/>
                <w:sz w:val="24"/>
                <w:szCs w:val="24"/>
              </w:rPr>
            </w:pPr>
            <w:r>
              <w:rPr>
                <w:rFonts w:eastAsia="仿宋"/>
                <w:sz w:val="24"/>
                <w:szCs w:val="24"/>
              </w:rPr>
              <w:t>其他</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4</w:t>
            </w:r>
          </w:p>
        </w:tc>
        <w:tc>
          <w:tcPr>
            <w:tcW w:w="3081" w:type="dxa"/>
            <w:vAlign w:val="center"/>
          </w:tcPr>
          <w:p>
            <w:pPr>
              <w:spacing w:line="240" w:lineRule="auto"/>
              <w:ind w:firstLine="0" w:firstLineChars="0"/>
              <w:jc w:val="center"/>
              <w:rPr>
                <w:rFonts w:eastAsia="仿宋"/>
                <w:sz w:val="24"/>
                <w:szCs w:val="24"/>
              </w:rPr>
            </w:pPr>
            <w:r>
              <w:rPr>
                <w:rFonts w:eastAsia="仿宋"/>
                <w:sz w:val="24"/>
                <w:szCs w:val="24"/>
              </w:rPr>
              <w:t>0.8%</w:t>
            </w:r>
          </w:p>
        </w:tc>
      </w:tr>
    </w:tbl>
    <w:p>
      <w:pPr>
        <w:ind w:firstLine="560"/>
      </w:pPr>
      <w:r>
        <w:rPr>
          <w:rFonts w:hint="eastAsia"/>
        </w:rPr>
        <w:t>调查问卷结果显示，购置教学设备会产生正向积极效果，老师和学生均认为可选种类更为丰富的教学设备对激发学习兴趣的效果最为明显，其次优化课堂结构、增强学生动手能力、改善学习方式等均为借助教学仪器设备可以达到的效果。</w:t>
      </w:r>
    </w:p>
    <w:p>
      <w:pPr>
        <w:pStyle w:val="21"/>
        <w:spacing w:line="360" w:lineRule="auto"/>
        <w:ind w:left="0" w:leftChars="0" w:firstLine="560"/>
        <w:rPr>
          <w:rFonts w:hAnsi="Times New Roman" w:eastAsia="仿宋_GB2312"/>
          <w:szCs w:val="22"/>
        </w:rPr>
      </w:pPr>
      <w:r>
        <w:rPr>
          <w:rFonts w:hint="eastAsia" w:hAnsi="Times New Roman" w:eastAsia="仿宋_GB2312"/>
          <w:szCs w:val="22"/>
        </w:rPr>
        <w:t>教学仪器设备验收后交由生物、物理、化学等使用部门管护。管护机构具有可持续性。以下采用问卷调查的方式获取“项目产出能否得到及时维护”的评价数据。</w:t>
      </w:r>
    </w:p>
    <w:p>
      <w:pPr>
        <w:pStyle w:val="3"/>
        <w:ind w:firstLine="643"/>
      </w:pPr>
      <w:bookmarkStart w:id="82" w:name="_Toc466304884"/>
      <w:bookmarkStart w:id="83" w:name="_Toc21771"/>
      <w:r>
        <w:t>四、</w:t>
      </w:r>
      <w:bookmarkEnd w:id="82"/>
      <w:r>
        <w:rPr>
          <w:rFonts w:hint="eastAsia"/>
        </w:rPr>
        <w:t>存在的问题和建议</w:t>
      </w:r>
      <w:bookmarkEnd w:id="83"/>
    </w:p>
    <w:p>
      <w:pPr>
        <w:pStyle w:val="59"/>
        <w:ind w:firstLine="560"/>
        <w:rPr>
          <w:rFonts w:cs="Times New Roman"/>
        </w:rPr>
      </w:pPr>
      <w:r>
        <w:rPr>
          <w:rFonts w:hint="eastAsia" w:cs="Times New Roman"/>
        </w:rPr>
        <w:t>（一）绩效意识有待提高</w:t>
      </w:r>
    </w:p>
    <w:p>
      <w:pPr>
        <w:pStyle w:val="59"/>
        <w:ind w:firstLine="560"/>
        <w:rPr>
          <w:szCs w:val="28"/>
        </w:rPr>
      </w:pPr>
      <w:r>
        <w:rPr>
          <w:rFonts w:hint="eastAsia"/>
          <w:szCs w:val="28"/>
        </w:rPr>
        <w:t>相关人员对项目支出绩效目标设置要求认识不全面，对项目支出绩效目标设置的原则应用不到位，具体表现在：设置的绩效目标与支出方向、政策依据相关性欠佳，尤其是数量指标与支出方向的关联度较差；财务与业务核心有脱节的情况，绩效目标未突出项目产出和效果的核心重点；成本指标直接设置预算数，与数量指标的对应性较差，且不符合绩效指标设置要求。</w:t>
      </w:r>
    </w:p>
    <w:p>
      <w:pPr>
        <w:ind w:firstLine="560"/>
        <w:rPr>
          <w:szCs w:val="28"/>
        </w:rPr>
      </w:pPr>
      <w:r>
        <w:rPr>
          <w:rFonts w:hint="eastAsia"/>
          <w:szCs w:val="28"/>
        </w:rPr>
        <w:t>改进建议：加强绩效管理观念，落实监管责任</w:t>
      </w:r>
    </w:p>
    <w:p>
      <w:pPr>
        <w:ind w:firstLine="560"/>
      </w:pPr>
      <w:r>
        <w:rPr>
          <w:rFonts w:hint="eastAsia"/>
        </w:rPr>
        <w:t>对应省、市、县对绩效工作的要求，逐步建立内部的绩效管理体制，从提高绩效目标设置的科学、合理性开始着手，规范绩效监控，推进绩效评价常态化。积极实践绩效目标设置的高度关联、重点突出和量化易评原则，设置符合财政部门审核要求的绩效目标；及时真实反映绩效监控情况，合理解释说明偏差原因；针对项目实施情况做好绩效自评工作。设置切实可行的绩效目标，主动从绩效监控和自评结果中提取有用信息，为结果应用提供数据支撑。</w:t>
      </w:r>
    </w:p>
    <w:p>
      <w:pPr>
        <w:pStyle w:val="63"/>
        <w:ind w:firstLine="643"/>
      </w:pPr>
      <w:bookmarkStart w:id="84" w:name="_Toc6549"/>
      <w:bookmarkStart w:id="85" w:name="_Toc107476860"/>
      <w:bookmarkStart w:id="86" w:name="_Toc18615"/>
      <w:r>
        <w:t>五、</w:t>
      </w:r>
      <w:bookmarkEnd w:id="84"/>
      <w:bookmarkEnd w:id="85"/>
      <w:bookmarkEnd w:id="86"/>
      <w:bookmarkStart w:id="87" w:name="_Toc31652"/>
      <w:bookmarkStart w:id="88" w:name="_Toc107476861"/>
      <w:bookmarkStart w:id="89" w:name="_Toc27849"/>
      <w:r>
        <w:t>附件</w:t>
      </w:r>
      <w:bookmarkEnd w:id="87"/>
      <w:bookmarkEnd w:id="88"/>
      <w:bookmarkEnd w:id="89"/>
    </w:p>
    <w:p>
      <w:pPr>
        <w:pStyle w:val="59"/>
        <w:ind w:firstLine="560"/>
        <w:rPr>
          <w:rFonts w:cs="Times New Roman"/>
        </w:rPr>
      </w:pPr>
      <w:r>
        <w:rPr>
          <w:rFonts w:cs="Times New Roman"/>
        </w:rPr>
        <w:t>1.</w:t>
      </w:r>
      <w:r>
        <w:rPr>
          <w:rFonts w:hint="eastAsia" w:cs="Times New Roman"/>
        </w:rPr>
        <w:t>柞水县2021年双创学校设施设备增配项目</w:t>
      </w:r>
      <w:r>
        <w:rPr>
          <w:rFonts w:cs="Times New Roman"/>
        </w:rPr>
        <w:t>绩效</w:t>
      </w:r>
      <w:r>
        <w:rPr>
          <w:rFonts w:hint="eastAsia" w:cs="Times New Roman"/>
        </w:rPr>
        <w:t>评价</w:t>
      </w:r>
      <w:r>
        <w:rPr>
          <w:rFonts w:cs="Times New Roman"/>
        </w:rPr>
        <w:t>指标评分表</w:t>
      </w:r>
      <w:r>
        <w:rPr>
          <w:rFonts w:hint="eastAsia" w:cs="Times New Roman"/>
        </w:rPr>
        <w:t>。</w:t>
      </w:r>
    </w:p>
    <w:p>
      <w:pPr>
        <w:pStyle w:val="59"/>
        <w:ind w:firstLine="560"/>
        <w:rPr>
          <w:rFonts w:cs="Times New Roman"/>
        </w:rPr>
      </w:pPr>
      <w:r>
        <w:rPr>
          <w:rFonts w:hint="eastAsia" w:cs="Times New Roman"/>
        </w:rPr>
        <w:t>2.柞水县2021年双创学校设施设备增配项目采购清单。</w:t>
      </w:r>
    </w:p>
    <w:p>
      <w:pPr>
        <w:widowControl/>
        <w:spacing w:line="240" w:lineRule="auto"/>
        <w:ind w:firstLine="0" w:firstLineChars="0"/>
      </w:pPr>
    </w:p>
    <w:p>
      <w:pPr>
        <w:tabs>
          <w:tab w:val="left" w:pos="0"/>
        </w:tabs>
        <w:ind w:firstLine="560"/>
        <w:rPr>
          <w:szCs w:val="28"/>
        </w:rPr>
      </w:pPr>
    </w:p>
    <w:p>
      <w:pPr>
        <w:tabs>
          <w:tab w:val="left" w:pos="0"/>
        </w:tabs>
        <w:ind w:firstLine="560"/>
        <w:rPr>
          <w:szCs w:val="28"/>
        </w:rPr>
        <w:sectPr>
          <w:headerReference r:id="rId5" w:type="default"/>
          <w:footerReference r:id="rId6" w:type="default"/>
          <w:pgSz w:w="11906" w:h="16838"/>
          <w:pgMar w:top="1797" w:right="1440" w:bottom="1797" w:left="1440" w:header="851" w:footer="794" w:gutter="0"/>
          <w:pgNumType w:start="3"/>
          <w:cols w:space="720" w:num="1"/>
          <w:docGrid w:linePitch="381" w:charSpace="0"/>
        </w:sectPr>
      </w:pPr>
    </w:p>
    <w:p>
      <w:pPr>
        <w:pStyle w:val="3"/>
        <w:ind w:firstLine="0" w:firstLineChars="0"/>
      </w:pPr>
      <w:bookmarkStart w:id="92" w:name="_GoBack"/>
      <w:bookmarkEnd w:id="92"/>
      <w:bookmarkStart w:id="90" w:name="_Toc26725"/>
      <w:r>
        <w:rPr>
          <w:rFonts w:hint="eastAsia"/>
        </w:rPr>
        <w:t>附件一：柞水县2021年双创学校设施设备增配项目绩效评价指标评分表</w:t>
      </w:r>
      <w:bookmarkEnd w:id="90"/>
    </w:p>
    <w:tbl>
      <w:tblPr>
        <w:tblStyle w:val="22"/>
        <w:tblW w:w="4996" w:type="pct"/>
        <w:tblInd w:w="0" w:type="dxa"/>
        <w:tblLayout w:type="autofit"/>
        <w:tblCellMar>
          <w:top w:w="0" w:type="dxa"/>
          <w:left w:w="108" w:type="dxa"/>
          <w:bottom w:w="0" w:type="dxa"/>
          <w:right w:w="108" w:type="dxa"/>
        </w:tblCellMar>
      </w:tblPr>
      <w:tblGrid>
        <w:gridCol w:w="1237"/>
        <w:gridCol w:w="1420"/>
        <w:gridCol w:w="1556"/>
        <w:gridCol w:w="847"/>
        <w:gridCol w:w="3548"/>
        <w:gridCol w:w="4866"/>
        <w:gridCol w:w="689"/>
      </w:tblGrid>
      <w:tr>
        <w:tblPrEx>
          <w:tblCellMar>
            <w:top w:w="0" w:type="dxa"/>
            <w:left w:w="108" w:type="dxa"/>
            <w:bottom w:w="0" w:type="dxa"/>
            <w:right w:w="108" w:type="dxa"/>
          </w:tblCellMar>
        </w:tblPrEx>
        <w:trPr>
          <w:trHeight w:val="567"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一级指标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二级指标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三级指标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分值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指标说明</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评分标准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得分</w:t>
            </w:r>
          </w:p>
        </w:tc>
      </w:tr>
      <w:tr>
        <w:tblPrEx>
          <w:tblCellMar>
            <w:top w:w="0" w:type="dxa"/>
            <w:left w:w="108" w:type="dxa"/>
            <w:bottom w:w="0" w:type="dxa"/>
            <w:right w:w="108" w:type="dxa"/>
          </w:tblCellMar>
        </w:tblPrEx>
        <w:trPr>
          <w:trHeight w:val="567"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项目决策</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A1</w:t>
            </w:r>
            <w:r>
              <w:rPr>
                <w:rStyle w:val="61"/>
                <w:rFonts w:hint="default" w:ascii="Times New Roman" w:hAnsi="Times New Roman" w:cs="Times New Roman"/>
                <w:lang w:bidi="ar"/>
              </w:rPr>
              <w:t>项目立项</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A11</w:t>
            </w:r>
            <w:r>
              <w:rPr>
                <w:rStyle w:val="61"/>
                <w:rFonts w:hint="default" w:ascii="Times New Roman" w:hAnsi="Times New Roman" w:cs="Times New Roman"/>
                <w:lang w:bidi="ar"/>
              </w:rPr>
              <w:t>立项依据充分性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3</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项目立项是否符合法律法规、相关政策、发展规划以及部门职责，用以反映和考核项目立项依据情况。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符合相关政策和发展规划；</w:t>
            </w:r>
            <w:r>
              <w:rPr>
                <w:rFonts w:eastAsia="宋体"/>
                <w:color w:val="000000"/>
                <w:kern w:val="0"/>
                <w:sz w:val="21"/>
                <w:szCs w:val="21"/>
                <w:lang w:bidi="ar"/>
              </w:rPr>
              <w:t>b.</w:t>
            </w:r>
            <w:r>
              <w:rPr>
                <w:rStyle w:val="61"/>
                <w:rFonts w:hint="default" w:ascii="Times New Roman" w:hAnsi="Times New Roman" w:cs="Times New Roman"/>
                <w:lang w:bidi="ar"/>
              </w:rPr>
              <w:t>与项目实施单位职责密切相关。符合所有条件，得满分；一项不符合，扣</w:t>
            </w:r>
            <w:r>
              <w:rPr>
                <w:rFonts w:eastAsia="宋体"/>
                <w:color w:val="000000"/>
                <w:kern w:val="0"/>
                <w:sz w:val="21"/>
                <w:szCs w:val="21"/>
                <w:lang w:bidi="ar"/>
              </w:rPr>
              <w:t>1.5</w:t>
            </w:r>
            <w:r>
              <w:rPr>
                <w:rStyle w:val="61"/>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3</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A12</w:t>
            </w:r>
            <w:r>
              <w:rPr>
                <w:rStyle w:val="61"/>
                <w:rFonts w:hint="default" w:ascii="Times New Roman" w:hAnsi="Times New Roman" w:cs="Times New Roman"/>
                <w:lang w:bidi="ar"/>
              </w:rPr>
              <w:t>立项程序规范性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3</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项目申请、设立过程是否符合相关要求，用以反映和考核项目立项的规范情况。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项目是否按照规定的程序申请设立；</w:t>
            </w:r>
            <w:r>
              <w:rPr>
                <w:rFonts w:eastAsia="宋体"/>
                <w:color w:val="000000"/>
                <w:kern w:val="0"/>
                <w:sz w:val="21"/>
                <w:szCs w:val="21"/>
                <w:lang w:bidi="ar"/>
              </w:rPr>
              <w:t>b.</w:t>
            </w:r>
            <w:r>
              <w:rPr>
                <w:rStyle w:val="61"/>
                <w:rFonts w:hint="default" w:ascii="Times New Roman" w:hAnsi="Times New Roman" w:cs="Times New Roman"/>
                <w:lang w:bidi="ar"/>
              </w:rPr>
              <w:t>审批文件、材料是否符合相关要求；</w:t>
            </w:r>
            <w:r>
              <w:rPr>
                <w:rFonts w:eastAsia="宋体"/>
                <w:color w:val="000000"/>
                <w:kern w:val="0"/>
                <w:sz w:val="21"/>
                <w:szCs w:val="21"/>
                <w:lang w:bidi="ar"/>
              </w:rPr>
              <w:t>c.</w:t>
            </w:r>
            <w:r>
              <w:rPr>
                <w:rStyle w:val="61"/>
                <w:rFonts w:hint="default" w:ascii="Times New Roman" w:hAnsi="Times New Roman" w:cs="Times New Roman"/>
                <w:lang w:bidi="ar"/>
              </w:rPr>
              <w:t>事前是否已经过必要的可行性研究、专家论证、风险评估、绩效评估、集体决策。符合所有条件，得满分；一项不符合，扣</w:t>
            </w:r>
            <w:r>
              <w:rPr>
                <w:rFonts w:eastAsia="宋体"/>
                <w:color w:val="000000"/>
                <w:kern w:val="0"/>
                <w:sz w:val="21"/>
                <w:szCs w:val="21"/>
                <w:lang w:bidi="ar"/>
              </w:rPr>
              <w:t>1</w:t>
            </w:r>
            <w:r>
              <w:rPr>
                <w:rStyle w:val="61"/>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sz w:val="21"/>
                <w:szCs w:val="21"/>
              </w:rPr>
              <w:t>0</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A2</w:t>
            </w:r>
            <w:r>
              <w:rPr>
                <w:rStyle w:val="61"/>
                <w:rFonts w:hint="default" w:ascii="Times New Roman" w:hAnsi="Times New Roman" w:cs="Times New Roman"/>
                <w:lang w:bidi="ar"/>
              </w:rPr>
              <w:t>绩效目标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A21</w:t>
            </w:r>
            <w:r>
              <w:rPr>
                <w:rStyle w:val="61"/>
                <w:rFonts w:hint="default" w:ascii="Times New Roman" w:hAnsi="Times New Roman" w:cs="Times New Roman"/>
                <w:lang w:bidi="ar"/>
              </w:rPr>
              <w:t>绩效目标合理性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3</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项目所设定的绩效目标是否依据充分，是否符合客观实际，用以反映和考核项目绩效目标与项目实施的相符情况。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项目是否有绩效目标；</w:t>
            </w:r>
            <w:r>
              <w:rPr>
                <w:rFonts w:eastAsia="宋体"/>
                <w:color w:val="000000"/>
                <w:kern w:val="0"/>
                <w:sz w:val="21"/>
                <w:szCs w:val="21"/>
                <w:lang w:bidi="ar"/>
              </w:rPr>
              <w:t>b.</w:t>
            </w:r>
            <w:r>
              <w:rPr>
                <w:rStyle w:val="61"/>
                <w:rFonts w:hint="default" w:ascii="Times New Roman" w:hAnsi="Times New Roman" w:cs="Times New Roman"/>
                <w:lang w:bidi="ar"/>
              </w:rPr>
              <w:t>项目绩效目标与实际工作内容是否具有相关性；</w:t>
            </w:r>
            <w:r>
              <w:rPr>
                <w:rFonts w:eastAsia="宋体"/>
                <w:color w:val="000000"/>
                <w:kern w:val="0"/>
                <w:sz w:val="21"/>
                <w:szCs w:val="21"/>
                <w:lang w:bidi="ar"/>
              </w:rPr>
              <w:t>c.</w:t>
            </w:r>
            <w:r>
              <w:rPr>
                <w:rStyle w:val="61"/>
                <w:rFonts w:hint="default" w:ascii="Times New Roman" w:hAnsi="Times New Roman" w:cs="Times New Roman"/>
                <w:lang w:bidi="ar"/>
              </w:rPr>
              <w:t>项目预期产出效益和效果是否符合正常的业绩水平；是否与预算确定的项目投资额或资金量相匹配。符合所有条件，得满分；一项不符合，扣</w:t>
            </w:r>
            <w:r>
              <w:rPr>
                <w:rFonts w:hint="eastAsia" w:eastAsia="宋体"/>
                <w:color w:val="000000"/>
                <w:kern w:val="0"/>
                <w:sz w:val="21"/>
                <w:szCs w:val="21"/>
                <w:lang w:bidi="ar"/>
              </w:rPr>
              <w:t>0.5</w:t>
            </w:r>
            <w:r>
              <w:rPr>
                <w:rStyle w:val="61"/>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2</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A22</w:t>
            </w:r>
            <w:r>
              <w:rPr>
                <w:rStyle w:val="61"/>
                <w:rFonts w:hint="default" w:ascii="Times New Roman" w:hAnsi="Times New Roman" w:cs="Times New Roman"/>
                <w:lang w:bidi="ar"/>
              </w:rPr>
              <w:t>绩效指标明确性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3</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依据绩效目标设定的绩效指标是否清晰、细化、可衡量等，用以反映和考核项目绩效目标的明细化情况。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是否将项目绩效目标细化分解为具体的绩效指标；</w:t>
            </w:r>
            <w:r>
              <w:rPr>
                <w:rFonts w:eastAsia="宋体"/>
                <w:color w:val="000000"/>
                <w:kern w:val="0"/>
                <w:sz w:val="21"/>
                <w:szCs w:val="21"/>
                <w:lang w:bidi="ar"/>
              </w:rPr>
              <w:t>b.</w:t>
            </w:r>
            <w:r>
              <w:rPr>
                <w:rStyle w:val="61"/>
                <w:rFonts w:hint="default" w:ascii="Times New Roman" w:hAnsi="Times New Roman" w:cs="Times New Roman"/>
                <w:lang w:bidi="ar"/>
              </w:rPr>
              <w:t>是否通过清晰、可衡量的指标值予以体现；</w:t>
            </w:r>
            <w:r>
              <w:rPr>
                <w:rFonts w:eastAsia="宋体"/>
                <w:color w:val="000000"/>
                <w:kern w:val="0"/>
                <w:sz w:val="21"/>
                <w:szCs w:val="21"/>
                <w:lang w:bidi="ar"/>
              </w:rPr>
              <w:t>c.</w:t>
            </w:r>
            <w:r>
              <w:rPr>
                <w:rStyle w:val="61"/>
                <w:rFonts w:hint="default" w:ascii="Times New Roman" w:hAnsi="Times New Roman" w:cs="Times New Roman"/>
                <w:lang w:bidi="ar"/>
              </w:rPr>
              <w:t>是否与项目目标任务数或计划数相对应。符合所有条件，得满分；一项不符合，扣</w:t>
            </w:r>
            <w:r>
              <w:rPr>
                <w:rFonts w:hint="eastAsia" w:eastAsia="宋体"/>
                <w:color w:val="000000"/>
                <w:kern w:val="0"/>
                <w:sz w:val="21"/>
                <w:szCs w:val="21"/>
                <w:lang w:bidi="ar"/>
              </w:rPr>
              <w:t>0.5</w:t>
            </w:r>
            <w:r>
              <w:rPr>
                <w:rStyle w:val="61"/>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2.5</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A3</w:t>
            </w:r>
            <w:r>
              <w:rPr>
                <w:rStyle w:val="61"/>
                <w:rFonts w:hint="default" w:ascii="Times New Roman" w:hAnsi="Times New Roman" w:cs="Times New Roman"/>
                <w:lang w:bidi="ar"/>
              </w:rPr>
              <w:t>资金投入</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A31</w:t>
            </w:r>
            <w:r>
              <w:rPr>
                <w:rStyle w:val="61"/>
                <w:rFonts w:hint="default" w:ascii="Times New Roman" w:hAnsi="Times New Roman" w:cs="Times New Roman"/>
                <w:lang w:bidi="ar"/>
              </w:rPr>
              <w:t>预算编制科学性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4</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项目预算编制是否经过科学论证、有明确标准，资金额度与年度目标是否相适应，用以反映和考核项目预算编制的科学性、合理性情况。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预算编制是否经过科学论证；</w:t>
            </w:r>
            <w:r>
              <w:rPr>
                <w:rFonts w:eastAsia="宋体"/>
                <w:color w:val="000000"/>
                <w:kern w:val="0"/>
                <w:sz w:val="21"/>
                <w:szCs w:val="21"/>
                <w:lang w:bidi="ar"/>
              </w:rPr>
              <w:t>b.</w:t>
            </w:r>
            <w:r>
              <w:rPr>
                <w:rStyle w:val="61"/>
                <w:rFonts w:hint="default" w:ascii="Times New Roman" w:hAnsi="Times New Roman" w:cs="Times New Roman"/>
                <w:lang w:bidi="ar"/>
              </w:rPr>
              <w:t>预算内容与项目内容是否匹配；</w:t>
            </w:r>
            <w:r>
              <w:rPr>
                <w:rFonts w:eastAsia="宋体"/>
                <w:color w:val="000000"/>
                <w:kern w:val="0"/>
                <w:sz w:val="21"/>
                <w:szCs w:val="21"/>
                <w:lang w:bidi="ar"/>
              </w:rPr>
              <w:t>c.</w:t>
            </w:r>
            <w:r>
              <w:rPr>
                <w:rStyle w:val="61"/>
                <w:rFonts w:hint="default" w:ascii="Times New Roman" w:hAnsi="Times New Roman" w:cs="Times New Roman"/>
                <w:lang w:bidi="ar"/>
              </w:rPr>
              <w:t>预算额度测算依据是否充分，是否按照标准编制；</w:t>
            </w:r>
            <w:r>
              <w:rPr>
                <w:rFonts w:eastAsia="宋体"/>
                <w:color w:val="000000"/>
                <w:kern w:val="0"/>
                <w:sz w:val="21"/>
                <w:szCs w:val="21"/>
                <w:lang w:bidi="ar"/>
              </w:rPr>
              <w:t>d.</w:t>
            </w:r>
            <w:r>
              <w:rPr>
                <w:rStyle w:val="61"/>
                <w:rFonts w:hint="default" w:ascii="Times New Roman" w:hAnsi="Times New Roman" w:cs="Times New Roman"/>
                <w:lang w:bidi="ar"/>
              </w:rPr>
              <w:t>预算确定的项目投资额或资金量是否与工作任务相匹配。一项不符合，扣</w:t>
            </w:r>
            <w:r>
              <w:rPr>
                <w:rFonts w:eastAsia="宋体"/>
                <w:color w:val="000000"/>
                <w:kern w:val="0"/>
                <w:sz w:val="21"/>
                <w:szCs w:val="21"/>
                <w:lang w:bidi="ar"/>
              </w:rPr>
              <w:t>1</w:t>
            </w:r>
            <w:r>
              <w:rPr>
                <w:rStyle w:val="61"/>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4</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A32</w:t>
            </w:r>
            <w:r>
              <w:rPr>
                <w:rStyle w:val="61"/>
                <w:rFonts w:hint="default" w:ascii="Times New Roman" w:hAnsi="Times New Roman" w:cs="Times New Roman"/>
                <w:lang w:bidi="ar"/>
              </w:rPr>
              <w:t>资金分配合理性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4</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项目预算资金分配是否有测算依据，与补助单位或地方实际是否相适应，用以反映和考核项目预算资金分配的科学性、合理性情况。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预算资金分配依据是否充分；</w:t>
            </w:r>
            <w:r>
              <w:rPr>
                <w:rFonts w:eastAsia="宋体"/>
                <w:color w:val="000000"/>
                <w:kern w:val="0"/>
                <w:sz w:val="21"/>
                <w:szCs w:val="21"/>
                <w:lang w:bidi="ar"/>
              </w:rPr>
              <w:t>b.</w:t>
            </w:r>
            <w:r>
              <w:rPr>
                <w:rStyle w:val="61"/>
                <w:rFonts w:hint="default" w:ascii="Times New Roman" w:hAnsi="Times New Roman" w:cs="Times New Roman"/>
                <w:lang w:bidi="ar"/>
              </w:rPr>
              <w:t>资金分配额度是否合理，与项目单位或地方实际是否相适应。一项不符合，扣1分，扣完为止。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4</w:t>
            </w:r>
          </w:p>
        </w:tc>
      </w:tr>
      <w:tr>
        <w:tblPrEx>
          <w:tblCellMar>
            <w:top w:w="0" w:type="dxa"/>
            <w:left w:w="108" w:type="dxa"/>
            <w:bottom w:w="0" w:type="dxa"/>
            <w:right w:w="108" w:type="dxa"/>
          </w:tblCellMar>
        </w:tblPrEx>
        <w:trPr>
          <w:trHeight w:val="567"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B</w:t>
            </w:r>
            <w:r>
              <w:rPr>
                <w:rStyle w:val="61"/>
                <w:rFonts w:hint="default" w:ascii="Times New Roman" w:hAnsi="Times New Roman" w:cs="Times New Roman"/>
                <w:lang w:bidi="ar"/>
              </w:rPr>
              <w:t>项目管理</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B1</w:t>
            </w:r>
            <w:r>
              <w:rPr>
                <w:rStyle w:val="61"/>
                <w:rFonts w:hint="default" w:ascii="Times New Roman" w:hAnsi="Times New Roman" w:cs="Times New Roman"/>
                <w:lang w:bidi="ar"/>
              </w:rPr>
              <w:t>资金管理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B11</w:t>
            </w:r>
            <w:r>
              <w:rPr>
                <w:rStyle w:val="61"/>
                <w:rFonts w:hint="default" w:ascii="Times New Roman" w:hAnsi="Times New Roman" w:cs="Times New Roman"/>
                <w:lang w:bidi="ar"/>
              </w:rPr>
              <w:t>资金到位率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实际到位资金与预算资金的比率，用以反映和考核资金落实情况对项目实施的总体保障程度。</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资金到位率=</w:t>
            </w:r>
            <w:r>
              <w:rPr>
                <w:rStyle w:val="61"/>
                <w:rFonts w:hint="default" w:ascii="Times New Roman" w:hAnsi="Times New Roman" w:cs="Times New Roman"/>
                <w:lang w:bidi="ar"/>
              </w:rPr>
              <w:t>及时到位资金</w:t>
            </w:r>
            <w:r>
              <w:rPr>
                <w:rFonts w:eastAsia="仿宋"/>
                <w:color w:val="000000"/>
                <w:kern w:val="0"/>
                <w:sz w:val="21"/>
                <w:szCs w:val="21"/>
                <w:lang w:bidi="ar"/>
              </w:rPr>
              <w:t>/</w:t>
            </w:r>
            <w:r>
              <w:rPr>
                <w:rStyle w:val="61"/>
                <w:rFonts w:hint="default" w:ascii="Times New Roman" w:hAnsi="Times New Roman" w:cs="Times New Roman"/>
                <w:lang w:bidi="ar"/>
              </w:rPr>
              <w:t>应到位资金</w:t>
            </w:r>
            <w:r>
              <w:rPr>
                <w:rFonts w:eastAsia="仿宋"/>
                <w:color w:val="000000"/>
                <w:kern w:val="0"/>
                <w:sz w:val="21"/>
                <w:szCs w:val="21"/>
                <w:lang w:bidi="ar"/>
              </w:rPr>
              <w:t>×100%</w:t>
            </w:r>
            <w:r>
              <w:rPr>
                <w:rStyle w:val="61"/>
                <w:rFonts w:hint="default" w:ascii="Times New Roman" w:hAnsi="Times New Roman" w:cs="Times New Roman"/>
                <w:lang w:bidi="ar"/>
              </w:rPr>
              <w:t>。及时到位资金：截至规定时点实际落实到具体项目的资金。应到位资金：按照合同或项目进度要求截至规定时点应落实到具体项目的资金。到位及时率</w:t>
            </w:r>
            <w:r>
              <w:rPr>
                <w:rFonts w:eastAsia="仿宋"/>
                <w:color w:val="000000"/>
                <w:kern w:val="0"/>
                <w:sz w:val="21"/>
                <w:szCs w:val="21"/>
                <w:lang w:bidi="ar"/>
              </w:rPr>
              <w:t>100%</w:t>
            </w:r>
            <w:r>
              <w:rPr>
                <w:rStyle w:val="61"/>
                <w:rFonts w:hint="default" w:ascii="Times New Roman" w:hAnsi="Times New Roman" w:cs="Times New Roman"/>
                <w:lang w:bidi="ar"/>
              </w:rPr>
              <w:t>以上，得满分；低于</w:t>
            </w:r>
            <w:r>
              <w:rPr>
                <w:rFonts w:eastAsia="仿宋"/>
                <w:color w:val="000000"/>
                <w:kern w:val="0"/>
                <w:sz w:val="21"/>
                <w:szCs w:val="21"/>
                <w:lang w:bidi="ar"/>
              </w:rPr>
              <w:t>100%</w:t>
            </w:r>
            <w:r>
              <w:rPr>
                <w:rStyle w:val="61"/>
                <w:rFonts w:hint="default" w:ascii="Times New Roman" w:hAnsi="Times New Roman" w:cs="Times New Roman"/>
                <w:lang w:bidi="ar"/>
              </w:rPr>
              <w:t>，每下降</w:t>
            </w:r>
            <w:r>
              <w:rPr>
                <w:rFonts w:eastAsia="仿宋"/>
                <w:color w:val="000000"/>
                <w:kern w:val="0"/>
                <w:sz w:val="21"/>
                <w:szCs w:val="21"/>
                <w:lang w:bidi="ar"/>
              </w:rPr>
              <w:t>1%</w:t>
            </w:r>
            <w:r>
              <w:rPr>
                <w:rStyle w:val="61"/>
                <w:rFonts w:hint="default" w:ascii="Times New Roman" w:hAnsi="Times New Roman" w:cs="Times New Roman"/>
                <w:lang w:bidi="ar"/>
              </w:rPr>
              <w:t>扣权重的</w:t>
            </w:r>
            <w:r>
              <w:rPr>
                <w:rFonts w:eastAsia="仿宋"/>
                <w:color w:val="000000"/>
                <w:kern w:val="0"/>
                <w:sz w:val="21"/>
                <w:szCs w:val="21"/>
                <w:lang w:bidi="ar"/>
              </w:rPr>
              <w:t>2%</w:t>
            </w:r>
            <w:r>
              <w:rPr>
                <w:rStyle w:val="61"/>
                <w:rFonts w:hint="default" w:ascii="Times New Roman" w:hAnsi="Times New Roman" w:cs="Times New Roman"/>
                <w:lang w:bidi="ar"/>
              </w:rPr>
              <w:t>；低于</w:t>
            </w:r>
            <w:r>
              <w:rPr>
                <w:rFonts w:eastAsia="仿宋"/>
                <w:color w:val="000000"/>
                <w:kern w:val="0"/>
                <w:sz w:val="21"/>
                <w:szCs w:val="21"/>
                <w:lang w:bidi="ar"/>
              </w:rPr>
              <w:t>60%</w:t>
            </w:r>
            <w:r>
              <w:rPr>
                <w:rStyle w:val="61"/>
                <w:rFonts w:hint="default" w:ascii="Times New Roman" w:hAnsi="Times New Roman" w:cs="Times New Roman"/>
                <w:lang w:bidi="ar"/>
              </w:rPr>
              <w:t>，不计分。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5</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B12</w:t>
            </w:r>
            <w:r>
              <w:rPr>
                <w:rStyle w:val="61"/>
                <w:rFonts w:hint="default" w:ascii="Times New Roman" w:hAnsi="Times New Roman" w:cs="Times New Roman"/>
                <w:lang w:bidi="ar"/>
              </w:rPr>
              <w:t>预算执行率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项目预算资金是否按照计划执行，用以反映或考核项目预算执行情况。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预算执行率=</w:t>
            </w:r>
            <w:r>
              <w:rPr>
                <w:rStyle w:val="61"/>
                <w:rFonts w:hint="default" w:ascii="Times New Roman" w:hAnsi="Times New Roman" w:cs="Times New Roman"/>
                <w:lang w:bidi="ar"/>
              </w:rPr>
              <w:t>实际支出数</w:t>
            </w:r>
            <w:r>
              <w:rPr>
                <w:rFonts w:eastAsia="仿宋"/>
                <w:color w:val="000000"/>
                <w:kern w:val="0"/>
                <w:sz w:val="21"/>
                <w:szCs w:val="21"/>
                <w:lang w:bidi="ar"/>
              </w:rPr>
              <w:t>/</w:t>
            </w:r>
            <w:r>
              <w:rPr>
                <w:rStyle w:val="61"/>
                <w:rFonts w:hint="default" w:ascii="Times New Roman" w:hAnsi="Times New Roman" w:cs="Times New Roman"/>
                <w:lang w:bidi="ar"/>
              </w:rPr>
              <w:t>预资金下达数</w:t>
            </w:r>
            <w:r>
              <w:rPr>
                <w:rFonts w:eastAsia="仿宋"/>
                <w:color w:val="000000"/>
                <w:kern w:val="0"/>
                <w:sz w:val="21"/>
                <w:szCs w:val="21"/>
                <w:lang w:bidi="ar"/>
              </w:rPr>
              <w:t>×100%</w:t>
            </w:r>
            <w:r>
              <w:rPr>
                <w:rStyle w:val="61"/>
                <w:rFonts w:hint="default" w:ascii="Times New Roman" w:hAnsi="Times New Roman" w:cs="Times New Roman"/>
                <w:lang w:bidi="ar"/>
              </w:rPr>
              <w:t>。资金兑付率</w:t>
            </w:r>
            <w:r>
              <w:rPr>
                <w:rFonts w:eastAsia="仿宋"/>
                <w:color w:val="000000"/>
                <w:kern w:val="0"/>
                <w:sz w:val="21"/>
                <w:szCs w:val="21"/>
                <w:lang w:bidi="ar"/>
              </w:rPr>
              <w:t>95-105%</w:t>
            </w:r>
            <w:r>
              <w:rPr>
                <w:rStyle w:val="61"/>
                <w:rFonts w:hint="default" w:ascii="Times New Roman" w:hAnsi="Times New Roman" w:cs="Times New Roman"/>
                <w:lang w:bidi="ar"/>
              </w:rPr>
              <w:t>，得满分；每下降</w:t>
            </w:r>
            <w:r>
              <w:rPr>
                <w:rFonts w:eastAsia="仿宋"/>
                <w:color w:val="000000"/>
                <w:kern w:val="0"/>
                <w:sz w:val="21"/>
                <w:szCs w:val="21"/>
                <w:lang w:bidi="ar"/>
              </w:rPr>
              <w:t>1%</w:t>
            </w:r>
            <w:r>
              <w:rPr>
                <w:rStyle w:val="61"/>
                <w:rFonts w:hint="default" w:ascii="Times New Roman" w:hAnsi="Times New Roman" w:cs="Times New Roman"/>
                <w:lang w:bidi="ar"/>
              </w:rPr>
              <w:t>扣权重</w:t>
            </w:r>
            <w:r>
              <w:rPr>
                <w:rFonts w:eastAsia="仿宋"/>
                <w:color w:val="000000"/>
                <w:kern w:val="0"/>
                <w:sz w:val="21"/>
                <w:szCs w:val="21"/>
                <w:lang w:bidi="ar"/>
              </w:rPr>
              <w:t>2%</w:t>
            </w:r>
            <w:r>
              <w:rPr>
                <w:rStyle w:val="61"/>
                <w:rFonts w:hint="default" w:ascii="Times New Roman" w:hAnsi="Times New Roman" w:cs="Times New Roman"/>
                <w:lang w:bidi="ar"/>
              </w:rPr>
              <w:t>，资金兑付率</w:t>
            </w:r>
            <w:r>
              <w:rPr>
                <w:rFonts w:eastAsia="仿宋"/>
                <w:color w:val="000000"/>
                <w:kern w:val="0"/>
                <w:sz w:val="21"/>
                <w:szCs w:val="21"/>
                <w:lang w:bidi="ar"/>
              </w:rPr>
              <w:t>60%</w:t>
            </w:r>
            <w:r>
              <w:rPr>
                <w:rStyle w:val="61"/>
                <w:rFonts w:hint="default" w:ascii="Times New Roman" w:hAnsi="Times New Roman" w:cs="Times New Roman"/>
                <w:lang w:bidi="ar"/>
              </w:rPr>
              <w:t>以下不计分。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b/>
                <w:bCs/>
                <w:color w:val="000000"/>
                <w:sz w:val="21"/>
                <w:szCs w:val="21"/>
              </w:rPr>
            </w:pPr>
            <w:r>
              <w:rPr>
                <w:rFonts w:hint="eastAsia" w:eastAsia="宋体"/>
                <w:b/>
                <w:bCs/>
                <w:color w:val="000000"/>
                <w:kern w:val="0"/>
                <w:sz w:val="21"/>
                <w:szCs w:val="21"/>
                <w:lang w:bidi="ar"/>
              </w:rPr>
              <w:t>5</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B13</w:t>
            </w:r>
            <w:r>
              <w:rPr>
                <w:rStyle w:val="61"/>
                <w:rFonts w:hint="default" w:ascii="Times New Roman" w:hAnsi="Times New Roman" w:cs="Times New Roman"/>
                <w:lang w:bidi="ar"/>
              </w:rPr>
              <w:t>资金使用合规性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项目资金使用是否符合相关的财务管理制度规定，用以反映和考核项目资金的规范运行情况。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项目资金专款专用，不挤占原有投入，不用于偿还拖欠的其它债务；</w:t>
            </w:r>
            <w:r>
              <w:rPr>
                <w:rFonts w:eastAsia="宋体"/>
                <w:color w:val="000000"/>
                <w:kern w:val="0"/>
                <w:sz w:val="21"/>
                <w:szCs w:val="21"/>
                <w:lang w:bidi="ar"/>
              </w:rPr>
              <w:t>b.</w:t>
            </w:r>
            <w:r>
              <w:rPr>
                <w:rStyle w:val="61"/>
                <w:rFonts w:hint="default" w:ascii="Times New Roman" w:hAnsi="Times New Roman" w:cs="Times New Roman"/>
                <w:lang w:bidi="ar"/>
              </w:rPr>
              <w:t>资金的拨付按照财政国库管理制度有关规定执行，有完整的审批程序和手续；</w:t>
            </w:r>
            <w:r>
              <w:rPr>
                <w:rFonts w:eastAsia="宋体"/>
                <w:color w:val="000000"/>
                <w:kern w:val="0"/>
                <w:sz w:val="21"/>
                <w:szCs w:val="21"/>
                <w:lang w:bidi="ar"/>
              </w:rPr>
              <w:t>c.</w:t>
            </w:r>
            <w:r>
              <w:rPr>
                <w:rStyle w:val="61"/>
                <w:rFonts w:hint="default" w:ascii="Times New Roman" w:hAnsi="Times New Roman" w:cs="Times New Roman"/>
                <w:lang w:bidi="ar"/>
              </w:rPr>
              <w:t>按照项目进度拨款，不存在拖欠项目款现象；</w:t>
            </w:r>
            <w:r>
              <w:rPr>
                <w:rFonts w:eastAsia="宋体"/>
                <w:color w:val="000000"/>
                <w:kern w:val="0"/>
                <w:sz w:val="21"/>
                <w:szCs w:val="21"/>
                <w:lang w:bidi="ar"/>
              </w:rPr>
              <w:t>d.</w:t>
            </w:r>
            <w:r>
              <w:rPr>
                <w:rStyle w:val="61"/>
                <w:rFonts w:hint="default" w:ascii="Times New Roman" w:hAnsi="Times New Roman" w:cs="Times New Roman"/>
                <w:lang w:bidi="ar"/>
              </w:rPr>
              <w:t>资金使用符合项目预资金使用计划或合同规定的用途；</w:t>
            </w:r>
            <w:r>
              <w:rPr>
                <w:rFonts w:eastAsia="宋体"/>
                <w:color w:val="000000"/>
                <w:kern w:val="0"/>
                <w:sz w:val="21"/>
                <w:szCs w:val="21"/>
                <w:lang w:bidi="ar"/>
              </w:rPr>
              <w:t>e.</w:t>
            </w:r>
            <w:r>
              <w:rPr>
                <w:rStyle w:val="61"/>
                <w:rFonts w:hint="default" w:ascii="Times New Roman" w:hAnsi="Times New Roman" w:cs="Times New Roman"/>
                <w:lang w:bidi="ar"/>
              </w:rPr>
              <w:t>不存在挤占、挪用、克扣、截留、套取项目专款。符合所有条件，得满分；一项不符合，扣</w:t>
            </w:r>
            <w:r>
              <w:rPr>
                <w:rFonts w:eastAsia="宋体"/>
                <w:color w:val="000000"/>
                <w:kern w:val="0"/>
                <w:sz w:val="21"/>
                <w:szCs w:val="21"/>
                <w:lang w:bidi="ar"/>
              </w:rPr>
              <w:t>1</w:t>
            </w:r>
            <w:r>
              <w:rPr>
                <w:rStyle w:val="61"/>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5</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B2</w:t>
            </w:r>
            <w:r>
              <w:rPr>
                <w:rStyle w:val="61"/>
                <w:rFonts w:hint="default" w:ascii="Times New Roman" w:hAnsi="Times New Roman" w:cs="Times New Roman"/>
                <w:lang w:bidi="ar"/>
              </w:rPr>
              <w:t>组织实施</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B21</w:t>
            </w:r>
            <w:r>
              <w:rPr>
                <w:rStyle w:val="61"/>
                <w:rFonts w:hint="default" w:ascii="Times New Roman" w:hAnsi="Times New Roman" w:cs="Times New Roman"/>
                <w:lang w:bidi="ar"/>
              </w:rPr>
              <w:t>管理制度健全性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项目实施单位的财务和业务管理制度是否健全，用以反映和考核财务和业务管理制度对项目顺利实施的保障情况。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是否已制定或具有相应的财务和业务管理制度；</w:t>
            </w:r>
            <w:r>
              <w:rPr>
                <w:rFonts w:eastAsia="宋体"/>
                <w:color w:val="000000"/>
                <w:kern w:val="0"/>
                <w:sz w:val="21"/>
                <w:szCs w:val="21"/>
                <w:lang w:bidi="ar"/>
              </w:rPr>
              <w:t>b.</w:t>
            </w:r>
            <w:r>
              <w:rPr>
                <w:rStyle w:val="61"/>
                <w:rFonts w:hint="default" w:ascii="Times New Roman" w:hAnsi="Times New Roman" w:cs="Times New Roman"/>
                <w:lang w:bidi="ar"/>
              </w:rPr>
              <w:t>财务和业务管理制度是否合法、合规、完整。符合所有条件，得满分；一项不符合，扣</w:t>
            </w:r>
            <w:r>
              <w:rPr>
                <w:rFonts w:eastAsia="宋体"/>
                <w:color w:val="000000"/>
                <w:kern w:val="0"/>
                <w:sz w:val="21"/>
                <w:szCs w:val="21"/>
                <w:lang w:bidi="ar"/>
              </w:rPr>
              <w:t>1</w:t>
            </w:r>
            <w:r>
              <w:rPr>
                <w:rStyle w:val="61"/>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5</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B22</w:t>
            </w:r>
            <w:r>
              <w:rPr>
                <w:rStyle w:val="61"/>
                <w:rFonts w:hint="default" w:ascii="Times New Roman" w:hAnsi="Times New Roman" w:cs="Times New Roman"/>
                <w:lang w:bidi="ar"/>
              </w:rPr>
              <w:t>制度执行有效性</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eastAsia="仿宋"/>
                <w:color w:val="000000"/>
                <w:kern w:val="0"/>
                <w:sz w:val="21"/>
                <w:szCs w:val="21"/>
                <w:lang w:bidi="ar"/>
              </w:rPr>
              <w:t>项目实施是否符合相关管理规定，用以反映和考核相关管理制度的有效执行情况。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a.</w:t>
            </w:r>
            <w:r>
              <w:rPr>
                <w:rStyle w:val="61"/>
                <w:rFonts w:hint="default" w:ascii="Times New Roman" w:hAnsi="Times New Roman" w:cs="Times New Roman"/>
                <w:lang w:bidi="ar"/>
              </w:rPr>
              <w:t>是否遵守相关法律法规和相关管理规定；</w:t>
            </w:r>
            <w:r>
              <w:rPr>
                <w:rFonts w:eastAsia="宋体"/>
                <w:color w:val="000000"/>
                <w:kern w:val="0"/>
                <w:sz w:val="21"/>
                <w:szCs w:val="21"/>
                <w:lang w:bidi="ar"/>
              </w:rPr>
              <w:t>b.</w:t>
            </w:r>
            <w:r>
              <w:rPr>
                <w:rStyle w:val="61"/>
                <w:rFonts w:hint="default" w:ascii="Times New Roman" w:hAnsi="Times New Roman" w:cs="Times New Roman"/>
                <w:lang w:bidi="ar"/>
              </w:rPr>
              <w:t>项目调整及支出调整手续是否完备；</w:t>
            </w:r>
            <w:r>
              <w:rPr>
                <w:rFonts w:eastAsia="宋体"/>
                <w:color w:val="000000"/>
                <w:kern w:val="0"/>
                <w:sz w:val="21"/>
                <w:szCs w:val="21"/>
                <w:lang w:bidi="ar"/>
              </w:rPr>
              <w:t>c.</w:t>
            </w:r>
            <w:r>
              <w:rPr>
                <w:rStyle w:val="61"/>
                <w:rFonts w:hint="default" w:ascii="Times New Roman" w:hAnsi="Times New Roman" w:cs="Times New Roman"/>
                <w:lang w:bidi="ar"/>
              </w:rPr>
              <w:t>项目合同书、验收报告、技术鉴定等资料是否齐全并及时归档；</w:t>
            </w:r>
            <w:r>
              <w:rPr>
                <w:rFonts w:eastAsia="宋体"/>
                <w:color w:val="000000"/>
                <w:kern w:val="0"/>
                <w:sz w:val="21"/>
                <w:szCs w:val="21"/>
                <w:lang w:bidi="ar"/>
              </w:rPr>
              <w:t>d.</w:t>
            </w:r>
            <w:r>
              <w:rPr>
                <w:rStyle w:val="61"/>
                <w:rFonts w:hint="default" w:ascii="Times New Roman" w:hAnsi="Times New Roman" w:cs="Times New Roman"/>
                <w:lang w:bidi="ar"/>
              </w:rPr>
              <w:t>项目实施的人员条件、场地设备、信息支撑等是否落实到位。符合所有条件，得满分；一项不符合，扣</w:t>
            </w:r>
            <w:r>
              <w:rPr>
                <w:rFonts w:eastAsia="宋体"/>
                <w:color w:val="000000"/>
                <w:kern w:val="0"/>
                <w:sz w:val="21"/>
                <w:szCs w:val="21"/>
                <w:lang w:bidi="ar"/>
              </w:rPr>
              <w:t>1</w:t>
            </w:r>
            <w:r>
              <w:rPr>
                <w:rStyle w:val="61"/>
                <w:rFonts w:hint="default" w:ascii="Times New Roman" w:hAnsi="Times New Roman" w:cs="Times New Roman"/>
                <w:lang w:bidi="ar"/>
              </w:rPr>
              <w:t>分，扣完为止。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5</w:t>
            </w:r>
          </w:p>
        </w:tc>
      </w:tr>
      <w:tr>
        <w:tblPrEx>
          <w:tblCellMar>
            <w:top w:w="0" w:type="dxa"/>
            <w:left w:w="108" w:type="dxa"/>
            <w:bottom w:w="0" w:type="dxa"/>
            <w:right w:w="108" w:type="dxa"/>
          </w:tblCellMar>
        </w:tblPrEx>
        <w:trPr>
          <w:trHeight w:val="567"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C</w:t>
            </w:r>
            <w:r>
              <w:rPr>
                <w:rStyle w:val="61"/>
                <w:rFonts w:hint="default" w:ascii="Times New Roman" w:hAnsi="Times New Roman" w:cs="Times New Roman"/>
                <w:lang w:bidi="ar"/>
              </w:rPr>
              <w:t>项目绩效</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C1</w:t>
            </w:r>
            <w:r>
              <w:rPr>
                <w:rStyle w:val="61"/>
                <w:rFonts w:hint="default" w:ascii="Times New Roman" w:hAnsi="Times New Roman" w:cs="Times New Roman"/>
                <w:lang w:bidi="ar"/>
              </w:rPr>
              <w:t>产出</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C11</w:t>
            </w:r>
            <w:r>
              <w:rPr>
                <w:rFonts w:hint="eastAsia" w:eastAsia="仿宋"/>
                <w:color w:val="000000"/>
                <w:sz w:val="21"/>
                <w:szCs w:val="21"/>
              </w:rPr>
              <w:t>采购</w:t>
            </w:r>
            <w:r>
              <w:rPr>
                <w:rFonts w:eastAsia="仿宋"/>
                <w:color w:val="000000"/>
                <w:sz w:val="21"/>
                <w:szCs w:val="21"/>
              </w:rPr>
              <w:t>完</w:t>
            </w:r>
            <w:r>
              <w:rPr>
                <w:rStyle w:val="61"/>
                <w:rFonts w:hint="default"/>
              </w:rPr>
              <w:t>成率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sz w:val="21"/>
                <w:szCs w:val="21"/>
              </w:rPr>
              <w:t>项目实施的实际产出数与计划产出数的比率，用以反映和考核项目产出数量目标的实现程度</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hint="eastAsia" w:eastAsia="仿宋"/>
                <w:color w:val="000000"/>
                <w:kern w:val="0"/>
                <w:sz w:val="21"/>
                <w:szCs w:val="21"/>
                <w:lang w:bidi="ar"/>
              </w:rPr>
              <w:t>实际完成率=（实际产出数/计划产出数）×100%</w:t>
            </w:r>
          </w:p>
          <w:p>
            <w:pPr>
              <w:widowControl/>
              <w:adjustRightInd w:val="0"/>
              <w:snapToGrid w:val="0"/>
              <w:spacing w:line="240" w:lineRule="auto"/>
              <w:ind w:firstLine="0" w:firstLineChars="0"/>
              <w:textAlignment w:val="center"/>
              <w:rPr>
                <w:rFonts w:eastAsia="仿宋"/>
                <w:color w:val="000000"/>
                <w:kern w:val="0"/>
                <w:sz w:val="21"/>
                <w:szCs w:val="21"/>
                <w:lang w:bidi="ar"/>
              </w:rPr>
            </w:pPr>
            <w:r>
              <w:rPr>
                <w:rFonts w:hint="eastAsia" w:eastAsia="仿宋"/>
                <w:color w:val="000000"/>
                <w:kern w:val="0"/>
                <w:sz w:val="21"/>
                <w:szCs w:val="21"/>
                <w:lang w:bidi="ar"/>
              </w:rPr>
              <w:t>实际产出数：一定时期（本年度或项目期）内项目实际产出的产品或提供的服务数量。计划产出数：项目绩效目标确定的在一定时期（本年度或项目期）内计划产出的产品或提供的服务数量。</w:t>
            </w:r>
            <w:r>
              <w:rPr>
                <w:rFonts w:eastAsia="仿宋"/>
                <w:color w:val="000000"/>
                <w:kern w:val="0"/>
                <w:sz w:val="21"/>
                <w:szCs w:val="21"/>
                <w:lang w:bidi="ar"/>
              </w:rPr>
              <w:t>项目完工率=100%</w:t>
            </w:r>
            <w:r>
              <w:rPr>
                <w:rStyle w:val="61"/>
                <w:rFonts w:hint="default" w:ascii="Times New Roman" w:hAnsi="Times New Roman" w:cs="Times New Roman"/>
                <w:lang w:bidi="ar"/>
              </w:rPr>
              <w:t>，得满分，否则，得分</w:t>
            </w:r>
            <w:r>
              <w:rPr>
                <w:rFonts w:eastAsia="仿宋"/>
                <w:color w:val="000000"/>
                <w:kern w:val="0"/>
                <w:sz w:val="21"/>
                <w:szCs w:val="21"/>
                <w:lang w:bidi="ar"/>
              </w:rPr>
              <w:t>=</w:t>
            </w:r>
            <w:r>
              <w:rPr>
                <w:rStyle w:val="61"/>
                <w:rFonts w:hint="default" w:ascii="Times New Roman" w:hAnsi="Times New Roman" w:cs="Times New Roman"/>
                <w:lang w:bidi="ar"/>
              </w:rPr>
              <w:t>分值</w:t>
            </w:r>
            <w:r>
              <w:rPr>
                <w:rFonts w:eastAsia="仿宋"/>
                <w:color w:val="000000"/>
                <w:kern w:val="0"/>
                <w:sz w:val="21"/>
                <w:szCs w:val="21"/>
                <w:lang w:bidi="ar"/>
              </w:rPr>
              <w:t>*</w:t>
            </w:r>
            <w:r>
              <w:rPr>
                <w:rStyle w:val="61"/>
                <w:rFonts w:hint="default" w:ascii="Times New Roman" w:hAnsi="Times New Roman" w:cs="Times New Roman"/>
                <w:lang w:bidi="ar"/>
              </w:rPr>
              <w:t>项目实施进度。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sz w:val="21"/>
                <w:szCs w:val="21"/>
              </w:rPr>
              <w:t>5</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C12</w:t>
            </w:r>
            <w:r>
              <w:rPr>
                <w:rStyle w:val="61"/>
                <w:rFonts w:hint="default" w:ascii="Times New Roman" w:hAnsi="Times New Roman" w:cs="Times New Roman"/>
                <w:lang w:bidi="ar"/>
              </w:rPr>
              <w:t>完成及时率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kern w:val="0"/>
                <w:sz w:val="21"/>
                <w:szCs w:val="21"/>
                <w:lang w:bidi="ar"/>
              </w:rPr>
              <w:t>项目实际完成时间与计划完成时间的比较，用以反映和考核项目产出时效目标的实现程度</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ascii="仿宋" w:hAnsi="仿宋" w:eastAsia="仿宋"/>
                <w:color w:val="000000"/>
                <w:sz w:val="21"/>
                <w:szCs w:val="21"/>
              </w:rPr>
            </w:pPr>
            <w:r>
              <w:rPr>
                <w:rFonts w:hint="eastAsia" w:ascii="仿宋" w:hAnsi="仿宋" w:eastAsia="仿宋"/>
                <w:color w:val="000000"/>
                <w:kern w:val="0"/>
                <w:sz w:val="21"/>
                <w:szCs w:val="21"/>
                <w:lang w:bidi="ar"/>
              </w:rPr>
              <w:t>根据实际完成时间与计划完成时间对比结果酌情打分。实际完成时间：项目实施单位完成该项目实际所耗用的时间；计划完成时间：按照项目实施计划或相关规定完成该项目所需的时间。</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sz w:val="21"/>
                <w:szCs w:val="21"/>
              </w:rPr>
              <w:t>5</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宋体"/>
                <w:color w:val="000000"/>
                <w:sz w:val="21"/>
                <w:szCs w:val="21"/>
              </w:rPr>
            </w:pPr>
            <w:r>
              <w:rPr>
                <w:rFonts w:eastAsia="宋体"/>
                <w:color w:val="000000"/>
                <w:kern w:val="0"/>
                <w:sz w:val="21"/>
                <w:szCs w:val="21"/>
                <w:lang w:bidi="ar"/>
              </w:rPr>
              <w:t>C13</w:t>
            </w:r>
            <w:r>
              <w:rPr>
                <w:rStyle w:val="61"/>
                <w:rFonts w:hint="default" w:ascii="Times New Roman" w:hAnsi="Times New Roman" w:cs="Times New Roman"/>
                <w:lang w:bidi="ar"/>
              </w:rPr>
              <w:t>项目验收合格率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color w:val="000000"/>
                <w:sz w:val="21"/>
                <w:szCs w:val="21"/>
              </w:rPr>
              <w:t>项目完成的质量达标产出数与实际产出数的比率，用以反映和考核项目产出质量目标的实现程度</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kern w:val="0"/>
                <w:sz w:val="21"/>
                <w:szCs w:val="21"/>
                <w:lang w:bidi="ar"/>
              </w:rPr>
              <w:t>质量达标率=（质量达标产出数/实际产出数）×100%。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eastAsia="仿宋"/>
                <w:color w:val="000000"/>
                <w:kern w:val="0"/>
                <w:sz w:val="21"/>
                <w:szCs w:val="21"/>
                <w:lang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5</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color w:val="000000"/>
                <w:sz w:val="21"/>
                <w:szCs w:val="21"/>
              </w:rPr>
            </w:pPr>
            <w:r>
              <w:rPr>
                <w:rFonts w:eastAsia="宋体"/>
                <w:color w:val="000000"/>
                <w:kern w:val="0"/>
                <w:sz w:val="21"/>
                <w:szCs w:val="21"/>
                <w:lang w:bidi="ar"/>
              </w:rPr>
              <w:t>C2</w:t>
            </w:r>
            <w:r>
              <w:rPr>
                <w:rStyle w:val="61"/>
                <w:rFonts w:hint="default" w:ascii="Times New Roman" w:hAnsi="Times New Roman" w:cs="Times New Roman"/>
                <w:lang w:bidi="ar"/>
              </w:rPr>
              <w:t>效益</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C21</w:t>
            </w:r>
            <w:r>
              <w:rPr>
                <w:rFonts w:hint="eastAsia" w:eastAsia="仿宋"/>
                <w:color w:val="000000"/>
                <w:kern w:val="0"/>
                <w:sz w:val="21"/>
                <w:szCs w:val="21"/>
                <w:lang w:bidi="ar"/>
              </w:rPr>
              <w:t>项目效益</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hint="eastAsia" w:eastAsia="仿宋"/>
                <w:color w:val="000000"/>
                <w:kern w:val="0"/>
                <w:sz w:val="21"/>
                <w:szCs w:val="21"/>
                <w:lang w:bidi="ar"/>
              </w:rPr>
              <w:t>15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考察项目</w:t>
            </w:r>
            <w:r>
              <w:rPr>
                <w:rFonts w:hint="eastAsia" w:eastAsia="仿宋"/>
                <w:color w:val="000000"/>
                <w:kern w:val="0"/>
                <w:sz w:val="21"/>
                <w:szCs w:val="21"/>
                <w:lang w:bidi="ar"/>
              </w:rPr>
              <w:t>实施后在提升教学水平，辅助教室授课，帮助学生提高学习效率的影响。</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sz w:val="21"/>
                <w:szCs w:val="21"/>
              </w:rPr>
              <w:t>根据问卷调查结果，取教师教学提升度和学生学习提升度平均值，平均值≥90%为15分，每降低1%扣权重分1%，扣完为止。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14.70</w:t>
            </w:r>
          </w:p>
        </w:tc>
      </w:tr>
      <w:tr>
        <w:tblPrEx>
          <w:tblCellMar>
            <w:top w:w="0" w:type="dxa"/>
            <w:left w:w="108" w:type="dxa"/>
            <w:bottom w:w="0" w:type="dxa"/>
            <w:right w:w="108" w:type="dxa"/>
          </w:tblCellMar>
        </w:tblPrEx>
        <w:trPr>
          <w:trHeight w:val="2608"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C22</w:t>
            </w:r>
            <w:r>
              <w:rPr>
                <w:rFonts w:hint="eastAsia" w:eastAsia="仿宋"/>
                <w:color w:val="000000"/>
                <w:kern w:val="0"/>
                <w:sz w:val="21"/>
                <w:szCs w:val="21"/>
                <w:lang w:bidi="ar"/>
              </w:rPr>
              <w:t>可持续发展</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hint="eastAsia" w:eastAsia="仿宋"/>
                <w:color w:val="000000"/>
                <w:kern w:val="0"/>
                <w:sz w:val="21"/>
                <w:szCs w:val="21"/>
                <w:lang w:bidi="ar"/>
              </w:rPr>
              <w:t>15</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考察项目</w:t>
            </w:r>
            <w:r>
              <w:rPr>
                <w:rFonts w:hint="eastAsia" w:eastAsia="仿宋"/>
                <w:color w:val="000000"/>
                <w:kern w:val="0"/>
                <w:sz w:val="21"/>
                <w:szCs w:val="21"/>
                <w:lang w:bidi="ar"/>
              </w:rPr>
              <w:t>是否根据学校所需采购设备，采购完成后是否解决学校设备短缺的问题，以及仪器设备后期的管护维修等情况。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sz w:val="21"/>
                <w:szCs w:val="21"/>
              </w:rPr>
              <w:t>根据问卷调查结果，a.是否针对师生实际需求购置教学仪器设备，针对性取教师和学生算数平均数，针对性≥90%为5分，每降低1%扣权重分1%，扣完为止；b.能否有效解决师生仪器设备的实际需求，有效解决度取教师和学生算数平均数，有效解决度≥90%为5分，每降低1%扣权重分1%，扣完为止。c.教学仪器设备后期运营是否有专门的部门负责，取教师和学生算数平均数≥90%为5分，每降低1%扣权重分1%，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14.50</w:t>
            </w:r>
          </w:p>
        </w:tc>
      </w:tr>
      <w:tr>
        <w:tblPrEx>
          <w:tblCellMar>
            <w:top w:w="0" w:type="dxa"/>
            <w:left w:w="108" w:type="dxa"/>
            <w:bottom w:w="0" w:type="dxa"/>
            <w:right w:w="108" w:type="dxa"/>
          </w:tblCellMar>
        </w:tblPrEx>
        <w:trPr>
          <w:trHeight w:val="567"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eastAsia="仿宋"/>
                <w:color w:val="000000"/>
                <w:kern w:val="0"/>
                <w:sz w:val="21"/>
                <w:szCs w:val="21"/>
                <w:lang w:bidi="ar"/>
              </w:rPr>
              <w:t>C2</w:t>
            </w:r>
            <w:r>
              <w:rPr>
                <w:rFonts w:hint="eastAsia" w:eastAsia="仿宋"/>
                <w:color w:val="000000"/>
                <w:kern w:val="0"/>
                <w:sz w:val="21"/>
                <w:szCs w:val="21"/>
                <w:lang w:bidi="ar"/>
              </w:rPr>
              <w:t>3</w:t>
            </w:r>
            <w:r>
              <w:rPr>
                <w:rFonts w:eastAsia="仿宋"/>
                <w:color w:val="000000"/>
                <w:kern w:val="0"/>
                <w:sz w:val="21"/>
                <w:szCs w:val="21"/>
                <w:lang w:bidi="ar"/>
              </w:rPr>
              <w:t>满意度</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color w:val="000000"/>
                <w:kern w:val="0"/>
                <w:sz w:val="21"/>
                <w:szCs w:val="21"/>
                <w:lang w:bidi="ar"/>
              </w:rPr>
            </w:pPr>
            <w:r>
              <w:rPr>
                <w:rFonts w:eastAsia="仿宋"/>
                <w:color w:val="000000"/>
                <w:kern w:val="0"/>
                <w:sz w:val="21"/>
                <w:szCs w:val="21"/>
                <w:lang w:bidi="ar"/>
              </w:rPr>
              <w:t>10</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kern w:val="0"/>
                <w:sz w:val="21"/>
                <w:szCs w:val="21"/>
                <w:lang w:bidi="ar"/>
              </w:rPr>
            </w:pPr>
            <w:r>
              <w:rPr>
                <w:rFonts w:hint="eastAsia" w:eastAsia="仿宋"/>
                <w:color w:val="000000"/>
                <w:kern w:val="0"/>
                <w:sz w:val="21"/>
                <w:szCs w:val="21"/>
                <w:lang w:bidi="ar"/>
              </w:rPr>
              <w:t>考察受益教师和学生对项目实施的满意度。</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textAlignment w:val="center"/>
              <w:rPr>
                <w:rFonts w:eastAsia="仿宋"/>
                <w:color w:val="000000"/>
                <w:sz w:val="21"/>
                <w:szCs w:val="21"/>
              </w:rPr>
            </w:pPr>
            <w:r>
              <w:rPr>
                <w:rFonts w:hint="eastAsia" w:eastAsia="仿宋"/>
                <w:color w:val="000000"/>
                <w:sz w:val="21"/>
                <w:szCs w:val="21"/>
              </w:rPr>
              <w:t>根据问卷调查结果，a.教师满意度≥90%为5分，每降低1%扣权重分1%，扣完为止；b.学生满意度≥90%为5分，每降低1%扣权重分1%，扣完为止。</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hint="eastAsia" w:eastAsia="仿宋"/>
                <w:b/>
                <w:bCs/>
                <w:color w:val="000000"/>
                <w:sz w:val="21"/>
                <w:szCs w:val="21"/>
              </w:rPr>
              <w:t>9.53</w:t>
            </w:r>
          </w:p>
        </w:tc>
      </w:tr>
      <w:tr>
        <w:tblPrEx>
          <w:tblCellMar>
            <w:top w:w="0" w:type="dxa"/>
            <w:left w:w="108" w:type="dxa"/>
            <w:bottom w:w="0" w:type="dxa"/>
            <w:right w:w="108" w:type="dxa"/>
          </w:tblCellMar>
        </w:tblPrEx>
        <w:trPr>
          <w:trHeight w:val="567"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仿宋"/>
                <w:b/>
                <w:bCs/>
                <w:color w:val="000000"/>
                <w:sz w:val="21"/>
                <w:szCs w:val="21"/>
              </w:rPr>
            </w:pPr>
            <w:r>
              <w:rPr>
                <w:rFonts w:eastAsia="仿宋"/>
                <w:b/>
                <w:bCs/>
                <w:color w:val="000000"/>
                <w:kern w:val="0"/>
                <w:sz w:val="21"/>
                <w:szCs w:val="21"/>
                <w:lang w:bidi="ar"/>
              </w:rPr>
              <w:t>合计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rPr>
                <w:rFonts w:eastAsia="宋体"/>
                <w:b/>
                <w:bCs/>
                <w:color w:val="000000"/>
                <w:sz w:val="21"/>
                <w:szCs w:val="21"/>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rPr>
                <w:rFonts w:eastAsia="宋体"/>
                <w:b/>
                <w:bCs/>
                <w:color w:val="000000"/>
                <w:sz w:val="21"/>
                <w:szCs w:val="21"/>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eastAsia="宋体"/>
                <w:b/>
                <w:bCs/>
                <w:color w:val="000000"/>
                <w:kern w:val="0"/>
                <w:sz w:val="21"/>
                <w:szCs w:val="21"/>
                <w:lang w:bidi="ar"/>
              </w:rPr>
              <w:t>100</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rPr>
                <w:rFonts w:eastAsia="宋体"/>
                <w:b/>
                <w:bCs/>
                <w:color w:val="000000"/>
                <w:sz w:val="21"/>
                <w:szCs w:val="21"/>
              </w:rPr>
            </w:pP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rPr>
                <w:rFonts w:eastAsia="宋体"/>
                <w:b/>
                <w:bCs/>
                <w:color w:val="000000"/>
                <w:sz w:val="21"/>
                <w:szCs w:val="21"/>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firstLine="0" w:firstLineChars="0"/>
              <w:jc w:val="center"/>
              <w:textAlignment w:val="center"/>
              <w:rPr>
                <w:rFonts w:eastAsia="宋体"/>
                <w:b/>
                <w:bCs/>
                <w:color w:val="000000"/>
                <w:sz w:val="21"/>
                <w:szCs w:val="21"/>
              </w:rPr>
            </w:pPr>
            <w:r>
              <w:rPr>
                <w:rFonts w:hint="eastAsia" w:eastAsia="宋体"/>
                <w:b/>
                <w:bCs/>
                <w:color w:val="000000"/>
                <w:kern w:val="0"/>
                <w:sz w:val="21"/>
                <w:szCs w:val="21"/>
                <w:lang w:bidi="ar"/>
              </w:rPr>
              <w:t>93.26</w:t>
            </w:r>
          </w:p>
        </w:tc>
      </w:tr>
    </w:tbl>
    <w:p>
      <w:pPr>
        <w:ind w:firstLine="0" w:firstLineChars="0"/>
        <w:jc w:val="both"/>
        <w:rPr>
          <w:sz w:val="24"/>
          <w:szCs w:val="24"/>
        </w:rPr>
        <w:sectPr>
          <w:headerReference r:id="rId7" w:type="default"/>
          <w:footerReference r:id="rId8" w:type="default"/>
          <w:pgSz w:w="16838" w:h="11906" w:orient="landscape"/>
          <w:pgMar w:top="1800" w:right="1440" w:bottom="1800" w:left="1440" w:header="851" w:footer="992" w:gutter="0"/>
          <w:cols w:space="425" w:num="1"/>
          <w:docGrid w:type="lines" w:linePitch="312" w:charSpace="0"/>
        </w:sectPr>
      </w:pPr>
    </w:p>
    <w:p>
      <w:pPr>
        <w:pStyle w:val="3"/>
        <w:ind w:firstLine="0" w:firstLineChars="0"/>
      </w:pPr>
      <w:bookmarkStart w:id="91" w:name="_Toc20182"/>
      <w:r>
        <w:rPr>
          <w:rFonts w:hint="eastAsia"/>
        </w:rPr>
        <w:t>附件二：柞水县2021年双创学校设施设备增配项目采购清单</w:t>
      </w:r>
      <w:bookmarkEnd w:id="91"/>
    </w:p>
    <w:tbl>
      <w:tblPr>
        <w:tblStyle w:val="23"/>
        <w:tblpPr w:leftFromText="180" w:rightFromText="180" w:vertAnchor="text" w:horzAnchor="page" w:tblpX="1363" w:tblpY="297"/>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0"/>
        <w:gridCol w:w="18"/>
        <w:gridCol w:w="815"/>
        <w:gridCol w:w="18"/>
        <w:gridCol w:w="29"/>
        <w:gridCol w:w="10"/>
        <w:gridCol w:w="2544"/>
        <w:gridCol w:w="1334"/>
        <w:gridCol w:w="19"/>
        <w:gridCol w:w="24"/>
        <w:gridCol w:w="1412"/>
        <w:gridCol w:w="1501"/>
        <w:gridCol w:w="3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8"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品目号</w:t>
            </w:r>
          </w:p>
        </w:tc>
        <w:tc>
          <w:tcPr>
            <w:tcW w:w="862"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序号</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
                <w:sz w:val="21"/>
                <w:szCs w:val="21"/>
              </w:rPr>
            </w:pPr>
            <w:r>
              <w:rPr>
                <w:rFonts w:eastAsia="仿宋"/>
                <w:b/>
                <w:sz w:val="21"/>
                <w:szCs w:val="21"/>
              </w:rPr>
              <w:t>货物名称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
                <w:sz w:val="21"/>
                <w:szCs w:val="21"/>
              </w:rPr>
            </w:pPr>
            <w:r>
              <w:rPr>
                <w:rFonts w:eastAsia="仿宋"/>
                <w:b/>
                <w:sz w:val="21"/>
                <w:szCs w:val="21"/>
              </w:rPr>
              <w:t>数量</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单价</w:t>
            </w:r>
          </w:p>
          <w:p>
            <w:pPr>
              <w:autoSpaceDE w:val="0"/>
              <w:adjustRightInd w:val="0"/>
              <w:snapToGrid w:val="0"/>
              <w:spacing w:line="240" w:lineRule="auto"/>
              <w:ind w:firstLine="0" w:firstLineChars="0"/>
              <w:jc w:val="both"/>
              <w:rPr>
                <w:rFonts w:eastAsia="仿宋"/>
                <w:b/>
                <w:sz w:val="21"/>
                <w:szCs w:val="21"/>
              </w:rPr>
            </w:pPr>
            <w:r>
              <w:rPr>
                <w:rFonts w:eastAsia="仿宋"/>
                <w:b/>
                <w:sz w:val="21"/>
                <w:szCs w:val="21"/>
              </w:rPr>
              <w:t>（人民币元）</w:t>
            </w:r>
          </w:p>
        </w:tc>
        <w:tc>
          <w:tcPr>
            <w:tcW w:w="1502"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合计金额</w:t>
            </w:r>
          </w:p>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（人民币元）</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6" w:type="dxa"/>
            <w:gridSpan w:val="15"/>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bCs/>
                <w:sz w:val="21"/>
                <w:szCs w:val="21"/>
              </w:rPr>
              <w:t>物理实验室设备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gridSpan w:val="3"/>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1</w:t>
            </w:r>
          </w:p>
        </w:tc>
        <w:tc>
          <w:tcPr>
            <w:tcW w:w="862"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bCs/>
                <w:sz w:val="21"/>
              </w:rPr>
            </w:pPr>
            <w:r>
              <w:rPr>
                <w:rFonts w:ascii="Times New Roman" w:hAnsi="Times New Roman" w:eastAsia="仿宋"/>
                <w:bCs/>
                <w:sz w:val="21"/>
              </w:rPr>
              <w:t>1</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教师演示台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1张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3200.00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3200.00 </w:t>
            </w:r>
          </w:p>
        </w:tc>
        <w:tc>
          <w:tcPr>
            <w:tcW w:w="718"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c>
          <w:tcPr>
            <w:tcW w:w="862"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bCs/>
                <w:sz w:val="21"/>
              </w:rPr>
            </w:pPr>
            <w:r>
              <w:rPr>
                <w:rFonts w:ascii="Times New Roman" w:hAnsi="Times New Roman" w:eastAsia="仿宋"/>
                <w:bCs/>
                <w:sz w:val="21"/>
              </w:rPr>
              <w:t>2</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学生实验台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28张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1400.00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39200.00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c>
          <w:tcPr>
            <w:tcW w:w="862"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bCs/>
                <w:sz w:val="21"/>
              </w:rPr>
            </w:pPr>
            <w:r>
              <w:rPr>
                <w:rFonts w:ascii="Times New Roman" w:hAnsi="Times New Roman" w:eastAsia="仿宋"/>
                <w:bCs/>
                <w:sz w:val="21"/>
              </w:rPr>
              <w:t>3</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学生凳</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56张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4480.00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c>
          <w:tcPr>
            <w:tcW w:w="862"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bCs/>
                <w:sz w:val="21"/>
              </w:rPr>
            </w:pPr>
            <w:r>
              <w:rPr>
                <w:rFonts w:ascii="Times New Roman" w:hAnsi="Times New Roman" w:eastAsia="仿宋"/>
                <w:bCs/>
                <w:sz w:val="21"/>
              </w:rPr>
              <w:t>4</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实验室综合布线</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2800.00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2800.00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c>
          <w:tcPr>
            <w:tcW w:w="862"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bCs/>
                <w:sz w:val="21"/>
              </w:rPr>
            </w:pPr>
            <w:r>
              <w:rPr>
                <w:rFonts w:ascii="Times New Roman" w:hAnsi="Times New Roman" w:eastAsia="仿宋"/>
                <w:bCs/>
                <w:sz w:val="21"/>
              </w:rPr>
              <w:t>5</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准备台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1张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6000.00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6000.00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c>
          <w:tcPr>
            <w:tcW w:w="862"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bCs/>
                <w:sz w:val="21"/>
              </w:rPr>
            </w:pPr>
            <w:r>
              <w:rPr>
                <w:rFonts w:ascii="Times New Roman" w:hAnsi="Times New Roman" w:eastAsia="仿宋"/>
                <w:bCs/>
                <w:sz w:val="21"/>
              </w:rPr>
              <w:t>6</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仪器柜</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10个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1780.00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17800.00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c>
          <w:tcPr>
            <w:tcW w:w="862"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bCs/>
                <w:sz w:val="21"/>
              </w:rPr>
            </w:pPr>
            <w:r>
              <w:rPr>
                <w:rFonts w:ascii="Times New Roman" w:hAnsi="Times New Roman" w:eastAsia="仿宋"/>
                <w:bCs/>
                <w:sz w:val="21"/>
              </w:rPr>
              <w:t>7</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静电地板</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70平方</w:t>
            </w:r>
          </w:p>
          <w:p>
            <w:pPr>
              <w:autoSpaceDE w:val="0"/>
              <w:spacing w:line="240" w:lineRule="auto"/>
              <w:ind w:firstLine="0" w:firstLineChars="0"/>
              <w:jc w:val="center"/>
              <w:rPr>
                <w:rFonts w:eastAsia="仿宋"/>
                <w:bCs/>
                <w:sz w:val="21"/>
                <w:szCs w:val="21"/>
              </w:rPr>
            </w:pPr>
            <w:r>
              <w:rPr>
                <w:rFonts w:eastAsia="仿宋"/>
                <w:bCs/>
                <w:sz w:val="21"/>
                <w:szCs w:val="21"/>
              </w:rPr>
              <w:t>（以实际面积为准）</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550.00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38500.00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c>
          <w:tcPr>
            <w:tcW w:w="862"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bCs/>
                <w:sz w:val="21"/>
              </w:rPr>
            </w:pPr>
            <w:r>
              <w:rPr>
                <w:rFonts w:ascii="Times New Roman" w:hAnsi="Times New Roman" w:eastAsia="仿宋"/>
                <w:bCs/>
                <w:sz w:val="21"/>
              </w:rPr>
              <w:t>8</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墙面处理</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120平方</w:t>
            </w:r>
          </w:p>
          <w:p>
            <w:pPr>
              <w:autoSpaceDE w:val="0"/>
              <w:spacing w:line="240" w:lineRule="auto"/>
              <w:ind w:firstLine="0" w:firstLineChars="0"/>
              <w:jc w:val="center"/>
              <w:rPr>
                <w:rFonts w:eastAsia="仿宋"/>
                <w:bCs/>
                <w:sz w:val="21"/>
                <w:szCs w:val="21"/>
              </w:rPr>
            </w:pPr>
            <w:r>
              <w:rPr>
                <w:rFonts w:eastAsia="仿宋"/>
                <w:bCs/>
                <w:sz w:val="21"/>
                <w:szCs w:val="21"/>
              </w:rPr>
              <w:t>（以实际面积为准）</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62.00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7440.00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c>
          <w:tcPr>
            <w:tcW w:w="862"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bCs/>
                <w:sz w:val="21"/>
              </w:rPr>
            </w:pPr>
            <w:r>
              <w:rPr>
                <w:rFonts w:ascii="Times New Roman" w:hAnsi="Times New Roman" w:eastAsia="仿宋"/>
                <w:bCs/>
                <w:sz w:val="21"/>
              </w:rPr>
              <w:t>9</w:t>
            </w:r>
          </w:p>
        </w:tc>
        <w:tc>
          <w:tcPr>
            <w:tcW w:w="2555"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智慧黑板系统（包含智慧黑板、白板软件、移动授课系统、学生行为管理软件、壁挂式视频展台）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28200.00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bCs/>
                <w:sz w:val="21"/>
                <w:szCs w:val="21"/>
              </w:rPr>
            </w:pPr>
            <w:r>
              <w:rPr>
                <w:rFonts w:eastAsia="仿宋"/>
                <w:bCs/>
                <w:color w:val="000000"/>
                <w:kern w:val="0"/>
                <w:sz w:val="21"/>
                <w:szCs w:val="21"/>
              </w:rPr>
              <w:t xml:space="preserve">28200.00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技术培训</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both"/>
              <w:rPr>
                <w:rFonts w:eastAsia="仿宋"/>
                <w:bCs/>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right"/>
              <w:rPr>
                <w:rFonts w:eastAsia="仿宋"/>
                <w:bCs/>
                <w:sz w:val="21"/>
                <w:szCs w:val="21"/>
              </w:rPr>
            </w:pPr>
            <w:r>
              <w:rPr>
                <w:rFonts w:eastAsia="仿宋"/>
                <w:bCs/>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售后服务</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both"/>
              <w:rPr>
                <w:rFonts w:eastAsia="仿宋"/>
                <w:bCs/>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right"/>
              <w:rPr>
                <w:rFonts w:eastAsia="仿宋"/>
                <w:bCs/>
                <w:sz w:val="21"/>
                <w:szCs w:val="21"/>
              </w:rPr>
            </w:pPr>
            <w:r>
              <w:rPr>
                <w:rFonts w:eastAsia="仿宋"/>
                <w:bCs/>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运输费和保险费</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both"/>
              <w:rPr>
                <w:rFonts w:eastAsia="仿宋"/>
                <w:bCs/>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right"/>
              <w:rPr>
                <w:rFonts w:eastAsia="仿宋"/>
                <w:bCs/>
                <w:sz w:val="21"/>
                <w:szCs w:val="21"/>
              </w:rPr>
            </w:pPr>
            <w:r>
              <w:rPr>
                <w:rFonts w:eastAsia="仿宋"/>
                <w:bCs/>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施工及安装</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both"/>
              <w:rPr>
                <w:rFonts w:eastAsia="仿宋"/>
                <w:bCs/>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right"/>
              <w:rPr>
                <w:rFonts w:eastAsia="仿宋"/>
                <w:bCs/>
                <w:sz w:val="21"/>
                <w:szCs w:val="21"/>
              </w:rPr>
            </w:pPr>
            <w:r>
              <w:rPr>
                <w:rFonts w:eastAsia="仿宋"/>
                <w:bCs/>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其他</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both"/>
              <w:rPr>
                <w:rFonts w:eastAsia="仿宋"/>
                <w:bCs/>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right"/>
              <w:rPr>
                <w:rFonts w:eastAsia="仿宋"/>
                <w:bCs/>
                <w:sz w:val="21"/>
                <w:szCs w:val="21"/>
              </w:rPr>
            </w:pPr>
            <w:r>
              <w:rPr>
                <w:rFonts w:eastAsia="仿宋"/>
                <w:bCs/>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小计（人民币）</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both"/>
              <w:rPr>
                <w:rFonts w:eastAsia="仿宋"/>
                <w:bCs/>
                <w:sz w:val="21"/>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right"/>
              <w:rPr>
                <w:rFonts w:eastAsia="仿宋"/>
                <w:bCs/>
                <w:sz w:val="21"/>
                <w:szCs w:val="21"/>
              </w:rPr>
            </w:pPr>
            <w:r>
              <w:rPr>
                <w:rFonts w:eastAsia="仿宋"/>
                <w:sz w:val="21"/>
                <w:szCs w:val="21"/>
              </w:rPr>
              <w:t>￥</w:t>
            </w:r>
            <w:r>
              <w:rPr>
                <w:rFonts w:eastAsia="仿宋"/>
                <w:bCs/>
                <w:color w:val="000000"/>
                <w:kern w:val="0"/>
                <w:sz w:val="21"/>
                <w:szCs w:val="21"/>
              </w:rPr>
              <w:t xml:space="preserve">1033340.00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00" w:type="dxa"/>
            <w:gridSpan w:val="15"/>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sz w:val="21"/>
              </w:rPr>
            </w:pPr>
            <w:r>
              <w:rPr>
                <w:rFonts w:ascii="Times New Roman" w:hAnsi="Times New Roman" w:eastAsia="仿宋"/>
                <w:b/>
                <w:bCs/>
                <w:sz w:val="21"/>
              </w:rPr>
              <w:t>物理实验室仪器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restart"/>
            <w:tcBorders>
              <w:top w:val="nil"/>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sz w:val="21"/>
              </w:rPr>
            </w:pPr>
            <w:r>
              <w:rPr>
                <w:rFonts w:ascii="Times New Roman" w:hAnsi="Times New Roman" w:eastAsia="仿宋"/>
                <w:sz w:val="21"/>
              </w:rPr>
              <w:t>2</w:t>
            </w: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工作服</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2件</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restart"/>
            <w:tcBorders>
              <w:top w:val="nil"/>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sz w:val="21"/>
              </w:rPr>
            </w:pPr>
            <w:r>
              <w:rPr>
                <w:rFonts w:ascii="Times New Roman" w:hAnsi="Times New Roman" w:eastAsia="仿宋"/>
                <w:sz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机械危害防护手套</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4双</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套袖</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激光防护镜</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护目镜</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简易急救箱</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小托盘</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大托盘</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9</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一字螺丝刀</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10</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十字螺丝刀</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剥线钳</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2把</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钢丝钳</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2把</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尖嘴钳</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2把</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14</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平口钳</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2把</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15</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斜口钳</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2把</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16</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民用剪刀</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2把</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17</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电烙铁套装</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18</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打孔器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19</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打孔夹板</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20</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镊子</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烧杯用电加热器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陶土网</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两用气筒</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24</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多功能实验支架</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25</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升降台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26</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碘升华凝华管</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27</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磁悬浮原理实验器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28</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电子天平</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29</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圆柱体组</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30</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立方体组</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望远镜</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内聚力演示器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钢直尺</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5把</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34</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电子秒表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35</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斜面小车</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36</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演示测力计</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37</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重锤</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38</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金属钩码</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39</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摩擦力实验器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40</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惯性演示器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阿基米德原理实验器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浮力原理演示器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气体浮力演示器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44</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物体浮沉条件演示器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45</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潜水艇浮沉演示器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46</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压力和压强演示器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47</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液体内部压强实验器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48</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微小压强计</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10台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49</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透明盛液筒</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10个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50</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液体对器壁压强演示器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马德堡半球</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空盒气压计</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1482.00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1482.00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流体压强与流速关系演示器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54</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演示滑轮组</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1组</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55</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滑轮组</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30组</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56</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声传播演示器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57</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发音齿轮</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58</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手摇离心转台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59</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教学示波器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1542.00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1542.00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60</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凹面镜</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10块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凸面镜</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10块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光的传播、反射、折射实验器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平面镜成像实验器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64</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透镜及其应用实验器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5盒</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65</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白光的色散与合成演示器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66</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光的三原色合成实验器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67</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擦镜纸</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5张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68</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验电器连接杆</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69</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箔片验电器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1对</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70</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感应起电机</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磁感线演示器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立体磁感线演示器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磁感线演示板</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74</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电流磁场演示器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75</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蹄形电磁铁</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76</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原副线圈</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77</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充磁器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78</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演示电磁继电器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79</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方形线圈</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80</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手摇交直流发电机</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滚摆</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气体做功内能减少演示器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空气压缩引火仪</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84</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汽油机模型</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85</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柴油机模型</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86</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数字演示电表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87</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滑动变阻器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88</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电阻圈</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10组</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89</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电阻定律演示器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left"/>
              <w:rPr>
                <w:rFonts w:eastAsia="仿宋"/>
                <w:sz w:val="21"/>
                <w:szCs w:val="21"/>
              </w:rPr>
            </w:pPr>
            <w:r>
              <w:rPr>
                <w:rFonts w:eastAsia="仿宋"/>
                <w:sz w:val="21"/>
                <w:szCs w:val="21"/>
              </w:rPr>
              <w:tab/>
            </w:r>
            <w:r>
              <w:rPr>
                <w:rFonts w:eastAsia="仿宋"/>
                <w:sz w:val="21"/>
                <w:szCs w:val="21"/>
              </w:rPr>
              <w:t>2台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90</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焦耳定律演示器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91</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家庭电路示教板</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540.00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92</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安全用电示教板</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 w:type="dxa"/>
            <w:gridSpan w:val="3"/>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c>
          <w:tcPr>
            <w:tcW w:w="872" w:type="dxa"/>
            <w:gridSpan w:val="4"/>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93</w:t>
            </w:r>
          </w:p>
        </w:tc>
        <w:tc>
          <w:tcPr>
            <w:tcW w:w="2541"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保险丝作用演示器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r>
              <w:rPr>
                <w:rFonts w:eastAsia="仿宋"/>
                <w:sz w:val="21"/>
                <w:szCs w:val="21"/>
              </w:rPr>
              <w:t>2套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296.00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592.00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9"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技术培训</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9"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售后服务</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9"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运输费和保险费</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9"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施工及安装</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9" w:type="dxa"/>
            <w:gridSpan w:val="8"/>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Cs/>
                <w:sz w:val="21"/>
                <w:szCs w:val="21"/>
              </w:rPr>
            </w:pPr>
            <w:r>
              <w:rPr>
                <w:rFonts w:eastAsia="仿宋"/>
                <w:bCs/>
                <w:sz w:val="21"/>
                <w:szCs w:val="21"/>
              </w:rPr>
              <w:t>其他</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9" w:type="dxa"/>
            <w:gridSpan w:val="8"/>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bCs/>
                <w:sz w:val="21"/>
                <w:szCs w:val="21"/>
              </w:rPr>
            </w:pPr>
            <w:r>
              <w:rPr>
                <w:rFonts w:eastAsia="仿宋"/>
                <w:bCs/>
                <w:sz w:val="21"/>
                <w:szCs w:val="21"/>
              </w:rPr>
              <w:t>小计（人民币）</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sz w:val="21"/>
                <w:szCs w:val="21"/>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eastAsia="仿宋"/>
                <w:color w:val="000000"/>
                <w:kern w:val="0"/>
                <w:sz w:val="21"/>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pStyle w:val="12"/>
              <w:autoSpaceDE w:val="0"/>
              <w:spacing w:line="240" w:lineRule="auto"/>
              <w:ind w:firstLine="0" w:firstLineChars="0"/>
              <w:jc w:val="center"/>
              <w:rPr>
                <w:rFonts w:ascii="Times New Roman" w:hAnsi="Times New Roman" w:eastAsia="仿宋"/>
                <w:sz w:val="21"/>
              </w:rPr>
            </w:pPr>
            <w:r>
              <w:rPr>
                <w:rFonts w:ascii="Times New Roman" w:hAnsi="Times New Roman" w:eastAsia="仿宋"/>
                <w:sz w:val="21"/>
              </w:rPr>
              <w:t>￥</w:t>
            </w:r>
            <w:r>
              <w:rPr>
                <w:rFonts w:ascii="Times New Roman" w:hAnsi="Times New Roman" w:eastAsia="仿宋"/>
                <w:kern w:val="0"/>
                <w:sz w:val="21"/>
              </w:rPr>
              <w:t>134622.00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6"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b/>
                <w:sz w:val="21"/>
                <w:szCs w:val="21"/>
              </w:rPr>
            </w:pPr>
            <w:r>
              <w:rPr>
                <w:rFonts w:eastAsia="仿宋"/>
                <w:b/>
                <w:bCs/>
                <w:sz w:val="21"/>
                <w:szCs w:val="21"/>
              </w:rPr>
              <w:t>化学实验室设备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3</w:t>
            </w: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教师演示台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3500.00 </w:t>
            </w:r>
          </w:p>
        </w:tc>
        <w:tc>
          <w:tcPr>
            <w:tcW w:w="718"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学生实验台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14张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2800.00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4</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学生凳</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56张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4480.00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5</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三联水嘴</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15个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3450.00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6</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水槽</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15个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7</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实验台通风装置</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57个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8550.00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8</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实验室通风机</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7600.00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7600.00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9</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减震器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4组</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防雨帽</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1组</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11</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风机开关控制系统</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1组</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840.00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12</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风机进出口接头</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2组</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13</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通风机消音器</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1组</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14</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进出口柔性伸缩</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1组</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15</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教师转椅</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16</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主通风管道</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1项</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17</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通风系统地下部分</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1项</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3800.00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3800.00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18</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实验室给排水系统</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19</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实验室综合布线</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1套</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20</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准备台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1张</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21</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仪器柜</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1780.00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17800.00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22</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药品柜</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2个</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4400.00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23</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静电地板</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70平方（以实际面积为准）</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38500.00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24</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墙面处理</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color w:val="FF0000"/>
                <w:sz w:val="21"/>
                <w:szCs w:val="21"/>
              </w:rPr>
            </w:pPr>
            <w:r>
              <w:rPr>
                <w:rFonts w:eastAsia="仿宋"/>
                <w:kern w:val="0"/>
                <w:sz w:val="21"/>
                <w:szCs w:val="21"/>
              </w:rPr>
              <w:t>120平方（以实际面积为准）</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7440.00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25</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智慧黑板系统</w:t>
            </w:r>
            <w:r>
              <w:rPr>
                <w:rFonts w:eastAsia="仿宋"/>
                <w:bCs/>
                <w:sz w:val="21"/>
                <w:szCs w:val="21"/>
              </w:rPr>
              <w:t>（包含智慧黑板、白板软件、移动授课系统、学生行为管理软件、壁挂式视频展台）</w:t>
            </w:r>
          </w:p>
        </w:tc>
        <w:tc>
          <w:tcPr>
            <w:tcW w:w="135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1台</w:t>
            </w:r>
          </w:p>
        </w:tc>
        <w:tc>
          <w:tcPr>
            <w:tcW w:w="143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28200.00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28200.00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技术培训</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售后服务</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运输费和保险费</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施工及安装</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其他</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小计（人民币元）</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sz w:val="21"/>
                <w:szCs w:val="21"/>
              </w:rPr>
              <w:t>￥1333430.00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6" w:type="dxa"/>
            <w:gridSpan w:val="15"/>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bCs/>
                <w:sz w:val="21"/>
                <w:szCs w:val="21"/>
              </w:rPr>
              <w:t>化学实验室仪器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4</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危险化学品储存柜</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2000.00 </w:t>
            </w:r>
          </w:p>
        </w:tc>
        <w:tc>
          <w:tcPr>
            <w:tcW w:w="687" w:type="dxa"/>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灭火毯</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简易急救箱</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实验服</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护目镜</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50个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防毒口罩</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570.00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耐酸手套</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10双</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化学实验废水处理装置</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电加热器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列管式烘干器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烘干箱</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950.00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950.00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教学电源</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打孔器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14</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打孔夹板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17.00 </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34.00 </w:t>
            </w:r>
          </w:p>
        </w:tc>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打孔器刮刀</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 </w:t>
            </w:r>
          </w:p>
        </w:tc>
        <w:tc>
          <w:tcPr>
            <w:tcW w:w="718" w:type="dxa"/>
            <w:gridSpan w:val="2"/>
            <w:vMerge w:val="restart"/>
            <w:tcBorders>
              <w:top w:val="nil"/>
              <w:left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16</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电动钻孔器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17</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水银温度计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18</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酸度计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19</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滴定台</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15滴定夹</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多用滴管架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滴定管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滴定管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24</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25</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26</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27</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28</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锥形瓶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29</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锥形瓶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蒸馏烧瓶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集气瓶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液封除毒气集气瓶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5个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33</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广口瓶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34</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广口瓶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35</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茶色广口瓶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36</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茶色广口瓶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37</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细口瓶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38</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细口瓶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39</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40</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茶色滴瓶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茶色滴瓶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43</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酒精灯</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44</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干燥器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气体发生器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46</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冷凝器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47</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牛角管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48</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安全漏斗</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49</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分液漏斗</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50</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三通连接管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50支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干燥管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5支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53</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玻璃活塞</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54</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圆水槽</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55</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烧杯夹</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56</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镊子</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57</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试管夹</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58</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止水皮管夹</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59</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螺旋皮管夹</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5个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60</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石棉网</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燃烧匙</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玻璃管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5kg</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63</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玻璃棒</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4kg</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64</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橡胶管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2kg</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65</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乳胶管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10m</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66</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试管刷</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67</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烧瓶刷</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68</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结晶皿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69</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表面皿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70</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研钵</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蒸发皿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反应板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73</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井穴板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74</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塑料多用滴管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100支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75</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塑料洗瓶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76</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塑料水槽</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25个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77</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注射器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78</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初中化学实验材料</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2份</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79</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金属矿物、金属及合金标本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80</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溶液导电演示器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312.00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微型溶液导电实验器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10套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水电解演示器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2台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83</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金刚石结构模型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84</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石墨结构模型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85</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碘升华凝华管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86</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分子结构模型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87</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氯化钠晶体结构模型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88</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元素周期表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89</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原油常见馏分标本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90</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炼铁高炉模型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91</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合成有机高分子材料标本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92</w:t>
            </w:r>
          </w:p>
        </w:tc>
        <w:tc>
          <w:tcPr>
            <w:tcW w:w="257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新型无机非金属材料标本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kern w:val="0"/>
                <w:sz w:val="21"/>
                <w:szCs w:val="21"/>
              </w:rPr>
              <w:t>1盒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技术培训</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售后服务</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运输费和保险费</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施工及安装</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其他</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小计（人民币元）</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sz w:val="21"/>
                <w:szCs w:val="21"/>
              </w:rPr>
              <w:t>￥152415.00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6" w:type="dxa"/>
            <w:gridSpan w:val="15"/>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bCs/>
                <w:sz w:val="21"/>
                <w:szCs w:val="21"/>
              </w:rPr>
              <w:t>生物实验室设备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5</w:t>
            </w: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教师演示台</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1张</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3500.00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3500.00 </w:t>
            </w:r>
          </w:p>
        </w:tc>
        <w:tc>
          <w:tcPr>
            <w:tcW w:w="718"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学生实验桌</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14张</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实验光源</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29套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3480.00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学生实验凳</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56张</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4480.00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三联水嘴</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3450.00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实验水槽</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给水全室控制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全室给排水系统</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2500.00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实验室综合布线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2800.00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教师转椅</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1张</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洗眼器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准备台</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1张</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仪器柜</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14个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1780.00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24920.00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14</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标本柜</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2200.00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静电地板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70平方</w:t>
            </w:r>
          </w:p>
          <w:p>
            <w:pPr>
              <w:widowControl/>
              <w:autoSpaceDE w:val="0"/>
              <w:spacing w:line="240" w:lineRule="auto"/>
              <w:ind w:firstLine="0" w:firstLineChars="0"/>
              <w:jc w:val="center"/>
              <w:rPr>
                <w:rFonts w:eastAsia="仿宋"/>
                <w:kern w:val="0"/>
                <w:sz w:val="21"/>
                <w:szCs w:val="21"/>
              </w:rPr>
            </w:pPr>
            <w:r>
              <w:rPr>
                <w:rFonts w:eastAsia="仿宋"/>
                <w:kern w:val="0"/>
                <w:sz w:val="21"/>
                <w:szCs w:val="21"/>
              </w:rPr>
              <w:t>（以实际面积为准）</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38500.00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16</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墙面处理</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120平方（以实际面积为准）</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7440.00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17</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智慧黑板系统</w:t>
            </w:r>
            <w:r>
              <w:rPr>
                <w:rFonts w:eastAsia="仿宋"/>
                <w:bCs/>
                <w:sz w:val="21"/>
                <w:szCs w:val="21"/>
              </w:rPr>
              <w:t>（包含智慧黑板、白板软件、移动授课系统、学生行为管理软件、壁挂式视频展台）</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28200.00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28200.00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技术培训</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售后服务</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运输费和保险费</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施工及安装</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仿宋"/>
                <w:sz w:val="21"/>
                <w:szCs w:val="21"/>
              </w:rPr>
            </w:pPr>
            <w:r>
              <w:rPr>
                <w:rFonts w:eastAsia="仿宋"/>
                <w:sz w:val="21"/>
                <w:szCs w:val="21"/>
              </w:rPr>
              <w:t>其他</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小计（人民币元）</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eastAsia="仿宋"/>
                <w:color w:val="000000"/>
                <w:kern w:val="0"/>
                <w:sz w:val="21"/>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sz w:val="21"/>
                <w:szCs w:val="21"/>
              </w:rPr>
            </w:pPr>
            <w:r>
              <w:rPr>
                <w:rFonts w:eastAsia="仿宋"/>
                <w:sz w:val="21"/>
                <w:szCs w:val="21"/>
              </w:rPr>
              <w:t>￥1223250.00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6" w:type="dxa"/>
            <w:gridSpan w:val="15"/>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bCs/>
                <w:sz w:val="21"/>
                <w:szCs w:val="21"/>
              </w:rPr>
              <w:t>生物实验室仪器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6</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灭火毯</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250.00 </w:t>
            </w:r>
          </w:p>
        </w:tc>
        <w:tc>
          <w:tcPr>
            <w:tcW w:w="718"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简易急救箱</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实验服</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护目镜</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乳胶手套</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一次性 PE 手套</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5包</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高压灭菌器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3500.00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恒温培养箱</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1650.00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整理箱</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大托盘</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小托盘</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实验用品提篮</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打孔器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打孔夹板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打孔器刮刀</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一字螺丝刀</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十字螺丝刀</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钢手锯</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剥线钳</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钢丝钳</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钢锤</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活扳手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砂轮片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软尺</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托盘天平</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电子天平</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电子秒表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红液温度计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水银温度计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干湿球温度计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手术刀柄</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手术刀片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2包</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双面刀片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2包</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镊子</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镊子</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教学支架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三脚架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150试管架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量筒</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量筒</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量筒</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容量瓶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0.50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0.70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锥形瓶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锥形瓶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广口瓶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广口瓶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细口瓶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细口瓶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茶色滴瓶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茶色滴瓶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培养皿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培养皿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干燥器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干燥管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漏斗</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三通连接管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10支</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载玻片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盖玻片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10包</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试管夹</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止水皮管夹</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陶土网</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燃烧匙</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药匙</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橡胶塞</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10kg</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橡胶管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10kg</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570.00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试管刷</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试管刷</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研钵</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枝剪</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水网</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保温桶</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定性滤纸</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生物显微镜</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3600.00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54000.00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字母装片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双目立体显微镜</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放大镜</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洋葱鳞片叶表皮装片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植物细胞模型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动物细胞模型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草履虫模型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植物细胞有丝分裂切片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单层扁平上皮装片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纤维结缔组织切片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疏松结缔组织装片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骨骼肌纵横切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平滑肌分离装片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心肌切片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运动神经元装片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玉米种子纵切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根纵剖模型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植物根尖纵切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顶芽纵切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桃花模型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单子叶植物茎模型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双子叶草本植物茎模型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导管、筛管结构模型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木本双子叶植物茎横切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南瓜茎纵切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叶构造模型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迎春叶横切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人体半身模型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小肠切片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喉解剖模型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肺泡模型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膈肌运动模拟器</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人血涂片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动静脉血管横切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心脏解剖模型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心脏解剖模型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血压计</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男性泌尿生殖系统模型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女性泌尿生殖系统模型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肾单位、肾小体模型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眼球解剖模型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眼球仪</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耳解剖模型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脑解剖模型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脊髓横切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15片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橡皮锤</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2把</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人体骨骼模型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人体肌肉模型</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家蚕生活史标本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蝗虫生活史标本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蜜蜂生活史标本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133</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菜粉蝶生活史标本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134</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蛙发育顺序标本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135</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正常人染色体装片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136</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蛔虫标本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1瓶</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137</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节肢动物标本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138</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昆虫标本</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1盒</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139</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细菌三型涂片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140</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酵母菌装片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141</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青霉装片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6"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142</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曲霉装片</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20片</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sz w:val="21"/>
                <w:szCs w:val="21"/>
              </w:rPr>
              <w:t>技术培训</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sz w:val="21"/>
                <w:szCs w:val="21"/>
              </w:rPr>
              <w:t>售后服务</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sz w:val="21"/>
                <w:szCs w:val="21"/>
              </w:rPr>
              <w:t>运输费和保险费</w:t>
            </w:r>
          </w:p>
        </w:tc>
        <w:tc>
          <w:tcPr>
            <w:tcW w:w="2791" w:type="dxa"/>
            <w:gridSpan w:val="4"/>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sz w:val="21"/>
                <w:szCs w:val="21"/>
              </w:rPr>
              <w:t>施工及安装</w:t>
            </w:r>
          </w:p>
        </w:tc>
        <w:tc>
          <w:tcPr>
            <w:tcW w:w="2791" w:type="dxa"/>
            <w:gridSpan w:val="4"/>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sz w:val="21"/>
                <w:szCs w:val="21"/>
              </w:rPr>
              <w:t>其他</w:t>
            </w:r>
          </w:p>
        </w:tc>
        <w:tc>
          <w:tcPr>
            <w:tcW w:w="2791" w:type="dxa"/>
            <w:gridSpan w:val="4"/>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sz w:val="21"/>
                <w:szCs w:val="21"/>
              </w:rPr>
              <w:t>小计（人民币元）</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color w:val="000000"/>
                <w:kern w:val="0"/>
                <w:sz w:val="21"/>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sz w:val="21"/>
                <w:szCs w:val="21"/>
              </w:rPr>
              <w:t>￥682155.00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6" w:type="dxa"/>
            <w:gridSpan w:val="1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b/>
                <w:sz w:val="21"/>
                <w:szCs w:val="21"/>
              </w:rPr>
            </w:pPr>
            <w:r>
              <w:rPr>
                <w:rFonts w:eastAsia="仿宋"/>
                <w:b/>
                <w:bCs/>
                <w:sz w:val="21"/>
                <w:szCs w:val="21"/>
              </w:rPr>
              <w:t>小学科学六边形实验室设备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7</w:t>
            </w: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教师演示台</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1张</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3500.00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3500.00 </w:t>
            </w:r>
          </w:p>
        </w:tc>
        <w:tc>
          <w:tcPr>
            <w:tcW w:w="718"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学生实验桌</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8张</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3300.00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26400.00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教师总控台交流电源传输装置</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2600.00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学生电源</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16个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教师转椅</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1张</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学生实验凳</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48张</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3840.00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7</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三联水嘴</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2070.00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实验水槽</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全室给排水系统</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2500.00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实验室综合布线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2800.00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11</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仪器柜</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30个</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1780.00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53400.00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4"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w:t>
            </w:r>
          </w:p>
        </w:tc>
        <w:tc>
          <w:tcPr>
            <w:tcW w:w="258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智能交互黑板</w:t>
            </w:r>
          </w:p>
        </w:tc>
        <w:tc>
          <w:tcPr>
            <w:tcW w:w="1335"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27100.00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sz w:val="21"/>
                <w:szCs w:val="21"/>
              </w:rPr>
              <w:t>技术培训</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sz w:val="21"/>
                <w:szCs w:val="21"/>
              </w:rPr>
              <w:t>售后服务</w:t>
            </w:r>
          </w:p>
        </w:tc>
        <w:tc>
          <w:tcPr>
            <w:tcW w:w="2791" w:type="dxa"/>
            <w:gridSpan w:val="4"/>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sz w:val="21"/>
                <w:szCs w:val="21"/>
              </w:rPr>
              <w:t>运输费和保险费</w:t>
            </w:r>
          </w:p>
        </w:tc>
        <w:tc>
          <w:tcPr>
            <w:tcW w:w="2791" w:type="dxa"/>
            <w:gridSpan w:val="4"/>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sz w:val="21"/>
                <w:szCs w:val="21"/>
              </w:rPr>
              <w:t>施工及安装</w:t>
            </w:r>
          </w:p>
        </w:tc>
        <w:tc>
          <w:tcPr>
            <w:tcW w:w="2791" w:type="dxa"/>
            <w:gridSpan w:val="4"/>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sz w:val="21"/>
                <w:szCs w:val="21"/>
              </w:rPr>
              <w:t>其他</w:t>
            </w:r>
          </w:p>
        </w:tc>
        <w:tc>
          <w:tcPr>
            <w:tcW w:w="2791" w:type="dxa"/>
            <w:gridSpan w:val="4"/>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sz w:val="21"/>
                <w:szCs w:val="21"/>
              </w:rPr>
              <w:t>小计（人民币元）</w:t>
            </w:r>
          </w:p>
        </w:tc>
        <w:tc>
          <w:tcPr>
            <w:tcW w:w="2791" w:type="dxa"/>
            <w:gridSpan w:val="4"/>
            <w:tcBorders>
              <w:top w:val="single" w:color="auto" w:sz="4" w:space="0"/>
              <w:left w:val="single" w:color="auto" w:sz="4" w:space="0"/>
              <w:bottom w:val="single" w:color="auto" w:sz="4" w:space="0"/>
              <w:right w:val="single" w:color="auto" w:sz="4" w:space="0"/>
            </w:tcBorders>
          </w:tcPr>
          <w:p>
            <w:pPr>
              <w:widowControl/>
              <w:autoSpaceDE w:val="0"/>
              <w:spacing w:line="240" w:lineRule="auto"/>
              <w:ind w:firstLine="0" w:firstLineChars="0"/>
              <w:jc w:val="right"/>
              <w:textAlignment w:val="center"/>
              <w:rPr>
                <w:rFonts w:eastAsia="仿宋"/>
                <w:color w:val="000000"/>
                <w:kern w:val="0"/>
                <w:sz w:val="21"/>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sz w:val="21"/>
                <w:szCs w:val="21"/>
              </w:rPr>
              <w:t>￥127000.00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96"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after="156" w:afterLines="50" w:line="240" w:lineRule="auto"/>
              <w:ind w:firstLine="0" w:firstLineChars="0"/>
              <w:jc w:val="center"/>
              <w:rPr>
                <w:rFonts w:eastAsia="仿宋"/>
                <w:b/>
                <w:sz w:val="21"/>
                <w:szCs w:val="21"/>
              </w:rPr>
            </w:pPr>
            <w:r>
              <w:rPr>
                <w:rFonts w:eastAsia="仿宋"/>
                <w:b/>
                <w:bCs/>
                <w:sz w:val="21"/>
                <w:szCs w:val="21"/>
              </w:rPr>
              <w:t>小学科学实验室仪器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8</w:t>
            </w: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计算器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460.00 </w:t>
            </w:r>
          </w:p>
        </w:tc>
        <w:tc>
          <w:tcPr>
            <w:tcW w:w="718" w:type="dxa"/>
            <w:gridSpan w:val="2"/>
            <w:vMerge w:val="restart"/>
            <w:tcBorders>
              <w:top w:val="nil"/>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b/>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打孔器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打气筒</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仪器车</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2辆</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1520.00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显微镜</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24台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12720.00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生物显微演示装置</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165.00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学生显微镜</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放大镜</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放大镜</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天文望远镜</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476.00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476.00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酒精喷灯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电加热器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电冰箱</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4060.00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4060.00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电烤箱</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保温箱</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784.00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784.00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听诊器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372.00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水族箱</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290.00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手持移动灯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水槽</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368.00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方座支架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1288.00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三脚架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旋转架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百叶箱支架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百叶箱</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291.00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291.00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电源</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学生电源</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138.00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1656.00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教学电源</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390.00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电池盒</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46个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长度</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直尺</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软尺</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质量</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托盘天平</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金属钩码</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575.00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体重计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14台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560.00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7840.00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时间</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电子停表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温度</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温度计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温度计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体温计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寒暑表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39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最高温度表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最低温度表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力</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条形盒测力计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条形盒测力计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条形盒测力计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多用电表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其它</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right"/>
              <w:rPr>
                <w:rFonts w:eastAsia="仿宋"/>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湿度计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指南针</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肺活量计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雨量器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49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风杯式风速表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146.00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1168.00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专用仪器小学科学</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right"/>
              <w:rPr>
                <w:rFonts w:eastAsia="仿宋"/>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斜面</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1173.00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压簧</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拉簧</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沉浮块</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322.00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杠杆尺及支架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滑轮组及支架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轮轴及支架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齿轮组及支架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弹簧片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59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小车</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405.00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三球仪</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太阳高度测量器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风的形成实验材料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组装风车材料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组装水轮材料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太阳能的应用材料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529.00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音叉</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966.00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小鼓</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组装土电话材料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69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热传导实验材料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物体热涨冷缩实验材料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552.00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灯座及灯泡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开关</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物体导电性实验材料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299.00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条形磁铁</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条形磁铁</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蹄形磁铁</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蹄形磁铁</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磁针</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79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环形磁铁</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电磁铁组装材料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电磁铁</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手摇发电机</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激光笔</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322.00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小孔成像装置</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平面镜及支架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曲面镜及支架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透镜、棱镜及支架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成像屏及支架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89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昆虫观察盒</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动物饲养笼</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272.00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塑料注射器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单摆</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照相机模型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528.00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儿童骨骼模型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儿童牙列模型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少年人体半身模型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219.00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眼构造模型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啄木鸟仿真模型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99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猫头鹰仿真模型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1件</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73.00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平面政区地球仪</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平面地形地球仪</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地动仪模型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546.00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546.00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地球构造模型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6件</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248.00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1488.00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司南模型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sz w:val="21"/>
                <w:szCs w:val="21"/>
              </w:rPr>
              <w:t>12台</w:t>
            </w:r>
          </w:p>
          <w:p>
            <w:pPr>
              <w:pStyle w:val="2"/>
              <w:spacing w:line="240" w:lineRule="auto"/>
              <w:ind w:firstLine="0" w:firstLineChars="0"/>
              <w:jc w:val="both"/>
              <w:rPr>
                <w:rFonts w:ascii="Times New Roman" w:hAnsi="Times New Roman" w:eastAsia="仿宋"/>
                <w:sz w:val="21"/>
                <w:szCs w:val="21"/>
              </w:rPr>
            </w:pPr>
            <w:r>
              <w:rPr>
                <w:rFonts w:ascii="Times New Roman" w:hAnsi="Times New Roman" w:eastAsia="仿宋"/>
                <w:kern w:val="0"/>
                <w:sz w:val="21"/>
                <w:szCs w:val="21"/>
              </w:rPr>
              <w:t>(按实际需要提供)</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1128.00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月相变化模型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sz w:val="21"/>
                <w:szCs w:val="21"/>
              </w:rPr>
            </w:pPr>
            <w:r>
              <w:rPr>
                <w:rFonts w:eastAsia="仿宋"/>
                <w:sz w:val="21"/>
                <w:szCs w:val="21"/>
              </w:rPr>
              <w:t>12件</w:t>
            </w:r>
          </w:p>
          <w:p>
            <w:pPr>
              <w:pStyle w:val="2"/>
              <w:spacing w:line="240" w:lineRule="auto"/>
              <w:ind w:firstLine="0" w:firstLineChars="0"/>
              <w:jc w:val="both"/>
              <w:rPr>
                <w:rFonts w:ascii="Times New Roman" w:hAnsi="Times New Roman" w:eastAsia="仿宋"/>
                <w:sz w:val="21"/>
                <w:szCs w:val="21"/>
              </w:rPr>
            </w:pPr>
            <w:r>
              <w:rPr>
                <w:rFonts w:ascii="Times New Roman" w:hAnsi="Times New Roman" w:eastAsia="仿宋"/>
                <w:kern w:val="0"/>
                <w:sz w:val="21"/>
                <w:szCs w:val="21"/>
              </w:rPr>
              <w:t>(按实际需要提供)</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2520.00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蟾蜍浸制标本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12瓶</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河蚌浸制标本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12瓶</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爬行类动物浸制标本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12瓶</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109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蛙发育顺序标本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12瓶</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昆虫标本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桑蚕生活史标本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兔外形标本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12件</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70.00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植物种子传播方式标本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12盒</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372.00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天然材料标本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人造材料标本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纺织品标本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各种纸样标本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矿物标本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312.00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119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岩石标本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312.00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金属矿物标本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312.00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土壤标本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312.00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矿物提炼物标本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336.00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玻片标本</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植物根尖纵切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木本双子叶植物茎横切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草本植物茎横切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洋葱表皮装片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叶片横切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叶片气孔装片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129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动物表皮细胞装片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蛙卵细胞切片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骨细胞切片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口腔粘膜细胞装片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人血细胞装片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13片</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教学持图、图片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中国政区地图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1张</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中国地形地图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1张</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小学科学安全操作挂图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小学科学生命世界教学挂图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小学科学物质世界教学挂图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139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小学科学地球与宇宙教学挂图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110.00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科学史挂图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植物分类图谱</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动物分类图谱</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多媒体教学软件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小学科学教学素材库</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175.00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175.00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图书、手册</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小学科学实验教学指导书</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小学科学实验仪器手册</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玻璃仪器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计量</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量筒</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量杯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437.00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甘油注射器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17.00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391.00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149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92支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锥形瓶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酒精灯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漏斗</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159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Y形管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滴管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集气瓶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225.00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镊子</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495.00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试管夹</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石棉网</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燃烧匙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药匙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玻璃管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100个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玻璃棒</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169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橡胶管</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100个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橡胶塞</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2千克</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96.00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试管刷</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烧瓶刷</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培养皿</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45个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蒸发皿</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塑料量杯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药品</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硫酸铝钾（明矾）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500克</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0.40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酒精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1000克</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0.30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pH广范围试纸</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10本</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179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高锰酸钾</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500克</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0.40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盐酸</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500克</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0.10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50.00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实验材料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小学科学一般实验材料</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5套</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载玻片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10盒</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19.00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盖玻片</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50包</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rFonts w:eastAsia="仿宋"/>
                <w:kern w:val="0"/>
                <w:sz w:val="21"/>
                <w:szCs w:val="21"/>
              </w:rPr>
            </w:pP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工具</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　</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测电笔</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一字螺丝刀</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十字螺丝刀</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184.00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尖嘴钳</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12个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300.00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木工锯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189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钢手锯</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钢丝钳</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手锤</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活手</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电烙铁</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2支</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45.00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90.00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手电钻</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1台</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341.00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341.00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195</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剪刀</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460.00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196</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花盆</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6.00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138.00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197</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小刀</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198</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塑料桶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644.00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199</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手摇铃</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80.00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200</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手持筛子</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13.00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299.00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201</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喷水壶</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160.00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202</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吹风机</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8个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130.00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1040.00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203</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采集捕捞工具</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55.00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1265.00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c>
          <w:tcPr>
            <w:tcW w:w="843"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kern w:val="0"/>
                <w:sz w:val="21"/>
                <w:szCs w:val="21"/>
              </w:rPr>
              <w:t>204</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榨汁器</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23个</w:t>
            </w:r>
          </w:p>
        </w:tc>
        <w:tc>
          <w:tcPr>
            <w:tcW w:w="141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kern w:val="0"/>
                <w:sz w:val="21"/>
                <w:szCs w:val="21"/>
              </w:rPr>
            </w:pPr>
            <w:r>
              <w:rPr>
                <w:rFonts w:eastAsia="仿宋"/>
                <w:color w:val="000000"/>
                <w:kern w:val="0"/>
                <w:sz w:val="21"/>
                <w:szCs w:val="21"/>
              </w:rPr>
              <w:t xml:space="preserve">280.00 </w:t>
            </w: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sz w:val="21"/>
                <w:szCs w:val="21"/>
              </w:rPr>
            </w:pPr>
            <w:r>
              <w:rPr>
                <w:rFonts w:eastAsia="仿宋"/>
                <w:color w:val="000000"/>
                <w:kern w:val="0"/>
                <w:sz w:val="21"/>
                <w:szCs w:val="21"/>
              </w:rPr>
              <w:t xml:space="preserve">6440.00 </w:t>
            </w:r>
          </w:p>
        </w:tc>
        <w:tc>
          <w:tcPr>
            <w:tcW w:w="71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color w:val="000000"/>
                <w:kern w:val="0"/>
                <w:sz w:val="21"/>
                <w:szCs w:val="21"/>
              </w:rPr>
              <w:t>技术培训</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right"/>
              <w:rPr>
                <w:rFonts w:eastAsia="仿宋"/>
                <w:b/>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color w:val="000000"/>
                <w:kern w:val="0"/>
                <w:sz w:val="21"/>
                <w:szCs w:val="21"/>
              </w:rPr>
              <w:t>售后服务</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right"/>
              <w:rPr>
                <w:rFonts w:eastAsia="仿宋"/>
                <w:b/>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color w:val="000000"/>
                <w:kern w:val="0"/>
                <w:sz w:val="21"/>
                <w:szCs w:val="21"/>
              </w:rPr>
              <w:t>运输费和保险费</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color w:val="000000"/>
                <w:kern w:val="0"/>
                <w:sz w:val="21"/>
                <w:szCs w:val="21"/>
              </w:rPr>
              <w:t>施工及安装</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kern w:val="0"/>
                <w:sz w:val="21"/>
                <w:szCs w:val="21"/>
              </w:rPr>
            </w:pPr>
            <w:r>
              <w:rPr>
                <w:rFonts w:eastAsia="仿宋"/>
                <w:color w:val="000000"/>
                <w:kern w:val="0"/>
                <w:sz w:val="21"/>
                <w:szCs w:val="21"/>
              </w:rPr>
              <w:t>其他</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right"/>
              <w:textAlignment w:val="center"/>
              <w:rPr>
                <w:rFonts w:eastAsia="仿宋"/>
                <w:color w:val="000000"/>
                <w:kern w:val="0"/>
                <w:sz w:val="21"/>
                <w:szCs w:val="21"/>
              </w:rPr>
            </w:pPr>
            <w:r>
              <w:rPr>
                <w:rFonts w:eastAsia="仿宋"/>
                <w:color w:val="000000"/>
                <w:kern w:val="0"/>
                <w:sz w:val="21"/>
                <w:szCs w:val="21"/>
              </w:rPr>
              <w:t>0</w:t>
            </w:r>
          </w:p>
        </w:tc>
        <w:tc>
          <w:tcPr>
            <w:tcW w:w="718" w:type="dxa"/>
            <w:gridSpan w:val="2"/>
            <w:tcBorders>
              <w:top w:val="single" w:color="auto" w:sz="4" w:space="0"/>
              <w:left w:val="single" w:color="auto" w:sz="4" w:space="0"/>
              <w:bottom w:val="single" w:color="auto" w:sz="4" w:space="0"/>
              <w:right w:val="single" w:color="auto" w:sz="4" w:space="0"/>
            </w:tcBorders>
          </w:tcPr>
          <w:p>
            <w:pPr>
              <w:autoSpaceDE w:val="0"/>
              <w:adjustRightInd w:val="0"/>
              <w:snapToGrid w:val="0"/>
              <w:spacing w:line="240" w:lineRule="auto"/>
              <w:ind w:firstLine="0" w:firstLineChars="0"/>
              <w:jc w:val="center"/>
              <w:rPr>
                <w:rFonts w:eastAsia="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小计（人民币元）</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color w:val="000000"/>
                <w:kern w:val="0"/>
                <w:sz w:val="21"/>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b/>
                <w:sz w:val="21"/>
                <w:szCs w:val="21"/>
              </w:rPr>
            </w:pPr>
            <w:r>
              <w:rPr>
                <w:rFonts w:eastAsia="仿宋"/>
                <w:sz w:val="21"/>
                <w:szCs w:val="21"/>
              </w:rPr>
              <w:t>￥</w:t>
            </w:r>
            <w:r>
              <w:rPr>
                <w:rFonts w:eastAsia="仿宋"/>
                <w:color w:val="000000"/>
                <w:kern w:val="0"/>
                <w:sz w:val="21"/>
                <w:szCs w:val="21"/>
              </w:rPr>
              <w:t>97688.00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5" w:type="dxa"/>
            <w:gridSpan w:val="8"/>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rFonts w:eastAsia="仿宋"/>
                <w:kern w:val="0"/>
                <w:sz w:val="21"/>
                <w:szCs w:val="21"/>
              </w:rPr>
            </w:pPr>
            <w:r>
              <w:rPr>
                <w:rFonts w:eastAsia="仿宋"/>
                <w:kern w:val="0"/>
                <w:sz w:val="21"/>
                <w:szCs w:val="21"/>
              </w:rPr>
              <w:t>总计（人民币元）</w:t>
            </w:r>
          </w:p>
        </w:tc>
        <w:tc>
          <w:tcPr>
            <w:tcW w:w="279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textAlignment w:val="center"/>
              <w:rPr>
                <w:rFonts w:eastAsia="仿宋"/>
                <w:color w:val="000000"/>
                <w:kern w:val="0"/>
                <w:sz w:val="21"/>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240" w:lineRule="auto"/>
              <w:ind w:firstLine="0" w:firstLineChars="0"/>
              <w:jc w:val="center"/>
              <w:rPr>
                <w:rFonts w:eastAsia="仿宋"/>
                <w:sz w:val="21"/>
                <w:szCs w:val="21"/>
              </w:rPr>
            </w:pPr>
            <w:r>
              <w:rPr>
                <w:rFonts w:eastAsia="仿宋"/>
                <w:sz w:val="21"/>
                <w:szCs w:val="21"/>
              </w:rPr>
              <w:t>￥4783900.00</w:t>
            </w:r>
          </w:p>
        </w:tc>
      </w:tr>
    </w:tbl>
    <w:p>
      <w:pPr>
        <w:pStyle w:val="21"/>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rPr>
        <w:rFonts w:ascii="Cambria" w:hAnsi="Cambr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ind w:firstLine="36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16</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rFonts w:hint="eastAsia"/>
      </w:rPr>
      <w:t>柞水县2021年双创学校设施设备增配项目绩效评价报告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rFonts w:hint="eastAsia"/>
        <w:bCs/>
      </w:rPr>
      <w:t>柞水县2021年双创学校设施设备增配项目绩效评价报告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DdmNjQ1Y2RjZTQ4ZmEzMDBmZDY4Y2M2ZGIyOWYifQ=="/>
  </w:docVars>
  <w:rsids>
    <w:rsidRoot w:val="00172A27"/>
    <w:rsid w:val="00015543"/>
    <w:rsid w:val="0003157F"/>
    <w:rsid w:val="00035EEE"/>
    <w:rsid w:val="0005301C"/>
    <w:rsid w:val="00070EDF"/>
    <w:rsid w:val="00076416"/>
    <w:rsid w:val="0007680D"/>
    <w:rsid w:val="00086F92"/>
    <w:rsid w:val="000917EC"/>
    <w:rsid w:val="0009268C"/>
    <w:rsid w:val="000B2101"/>
    <w:rsid w:val="000B2A68"/>
    <w:rsid w:val="000B3D36"/>
    <w:rsid w:val="000B4532"/>
    <w:rsid w:val="000C6065"/>
    <w:rsid w:val="000D35F5"/>
    <w:rsid w:val="000D3F29"/>
    <w:rsid w:val="000E35EC"/>
    <w:rsid w:val="000E3E9C"/>
    <w:rsid w:val="000F2959"/>
    <w:rsid w:val="000F2BEE"/>
    <w:rsid w:val="000F4E16"/>
    <w:rsid w:val="000F6F7C"/>
    <w:rsid w:val="000F7E51"/>
    <w:rsid w:val="00107BD4"/>
    <w:rsid w:val="001330B5"/>
    <w:rsid w:val="00134982"/>
    <w:rsid w:val="00146C51"/>
    <w:rsid w:val="001528FC"/>
    <w:rsid w:val="00157B7C"/>
    <w:rsid w:val="00172A27"/>
    <w:rsid w:val="001906A3"/>
    <w:rsid w:val="001A2FBC"/>
    <w:rsid w:val="001A5D79"/>
    <w:rsid w:val="001B3EEA"/>
    <w:rsid w:val="002048F8"/>
    <w:rsid w:val="00206CFD"/>
    <w:rsid w:val="00224D05"/>
    <w:rsid w:val="0023290A"/>
    <w:rsid w:val="00244A48"/>
    <w:rsid w:val="00246EA8"/>
    <w:rsid w:val="00250C2C"/>
    <w:rsid w:val="002633C3"/>
    <w:rsid w:val="00272072"/>
    <w:rsid w:val="00280966"/>
    <w:rsid w:val="00280AD7"/>
    <w:rsid w:val="00281DBA"/>
    <w:rsid w:val="00290CC5"/>
    <w:rsid w:val="00291749"/>
    <w:rsid w:val="002B6222"/>
    <w:rsid w:val="002B6F25"/>
    <w:rsid w:val="002D39A2"/>
    <w:rsid w:val="002D3F91"/>
    <w:rsid w:val="002E2A98"/>
    <w:rsid w:val="002E38E9"/>
    <w:rsid w:val="002F7843"/>
    <w:rsid w:val="00302BB3"/>
    <w:rsid w:val="00316831"/>
    <w:rsid w:val="003204B2"/>
    <w:rsid w:val="003314F1"/>
    <w:rsid w:val="0033798D"/>
    <w:rsid w:val="0035408B"/>
    <w:rsid w:val="0037409E"/>
    <w:rsid w:val="003818A8"/>
    <w:rsid w:val="0038244C"/>
    <w:rsid w:val="00386485"/>
    <w:rsid w:val="003879ED"/>
    <w:rsid w:val="003B0938"/>
    <w:rsid w:val="003F05E0"/>
    <w:rsid w:val="003F25CA"/>
    <w:rsid w:val="003F3C8F"/>
    <w:rsid w:val="00401E9B"/>
    <w:rsid w:val="00411C24"/>
    <w:rsid w:val="00420C8A"/>
    <w:rsid w:val="0042109C"/>
    <w:rsid w:val="00421BD9"/>
    <w:rsid w:val="00430A44"/>
    <w:rsid w:val="00442BDE"/>
    <w:rsid w:val="00446984"/>
    <w:rsid w:val="00454202"/>
    <w:rsid w:val="004668E4"/>
    <w:rsid w:val="0047094D"/>
    <w:rsid w:val="00482ADC"/>
    <w:rsid w:val="00485469"/>
    <w:rsid w:val="00494CE5"/>
    <w:rsid w:val="0049530A"/>
    <w:rsid w:val="004A5AAA"/>
    <w:rsid w:val="004A751A"/>
    <w:rsid w:val="004A76A4"/>
    <w:rsid w:val="004C2F0C"/>
    <w:rsid w:val="004D0DCC"/>
    <w:rsid w:val="004D2929"/>
    <w:rsid w:val="004F4376"/>
    <w:rsid w:val="00500696"/>
    <w:rsid w:val="00500EE7"/>
    <w:rsid w:val="00501968"/>
    <w:rsid w:val="005148FD"/>
    <w:rsid w:val="00522EE2"/>
    <w:rsid w:val="00541823"/>
    <w:rsid w:val="00554E98"/>
    <w:rsid w:val="005570A6"/>
    <w:rsid w:val="00557486"/>
    <w:rsid w:val="00573765"/>
    <w:rsid w:val="005751FE"/>
    <w:rsid w:val="00582E17"/>
    <w:rsid w:val="0059401E"/>
    <w:rsid w:val="005A62D9"/>
    <w:rsid w:val="005B6152"/>
    <w:rsid w:val="005C1694"/>
    <w:rsid w:val="005C5E11"/>
    <w:rsid w:val="005F2A63"/>
    <w:rsid w:val="005F46CA"/>
    <w:rsid w:val="00623EA3"/>
    <w:rsid w:val="00625086"/>
    <w:rsid w:val="00635946"/>
    <w:rsid w:val="00636E78"/>
    <w:rsid w:val="00643F3D"/>
    <w:rsid w:val="006649B3"/>
    <w:rsid w:val="00675305"/>
    <w:rsid w:val="0068363D"/>
    <w:rsid w:val="006853F4"/>
    <w:rsid w:val="006860CA"/>
    <w:rsid w:val="00693B26"/>
    <w:rsid w:val="0069466A"/>
    <w:rsid w:val="00694EA9"/>
    <w:rsid w:val="0069767C"/>
    <w:rsid w:val="006A38FD"/>
    <w:rsid w:val="006A4F7E"/>
    <w:rsid w:val="006A6EFC"/>
    <w:rsid w:val="006B4A18"/>
    <w:rsid w:val="006B561B"/>
    <w:rsid w:val="006C63E7"/>
    <w:rsid w:val="006D280D"/>
    <w:rsid w:val="006D49B6"/>
    <w:rsid w:val="006E0E5E"/>
    <w:rsid w:val="006E6973"/>
    <w:rsid w:val="006F011C"/>
    <w:rsid w:val="006F45E0"/>
    <w:rsid w:val="007043B9"/>
    <w:rsid w:val="00735B90"/>
    <w:rsid w:val="00735C0C"/>
    <w:rsid w:val="00746AC4"/>
    <w:rsid w:val="00755AE0"/>
    <w:rsid w:val="00764F75"/>
    <w:rsid w:val="00787EEE"/>
    <w:rsid w:val="00795A13"/>
    <w:rsid w:val="00795D5D"/>
    <w:rsid w:val="007A2181"/>
    <w:rsid w:val="007B700B"/>
    <w:rsid w:val="007C6EF5"/>
    <w:rsid w:val="007D3D30"/>
    <w:rsid w:val="007D42F3"/>
    <w:rsid w:val="008155CD"/>
    <w:rsid w:val="008250FF"/>
    <w:rsid w:val="00825AC0"/>
    <w:rsid w:val="00836FD5"/>
    <w:rsid w:val="0084091B"/>
    <w:rsid w:val="008553AD"/>
    <w:rsid w:val="00861B96"/>
    <w:rsid w:val="008710B3"/>
    <w:rsid w:val="00873733"/>
    <w:rsid w:val="008845E5"/>
    <w:rsid w:val="00885F33"/>
    <w:rsid w:val="0088709B"/>
    <w:rsid w:val="008C0019"/>
    <w:rsid w:val="008D3823"/>
    <w:rsid w:val="008D4EE1"/>
    <w:rsid w:val="008E69EA"/>
    <w:rsid w:val="008F0A69"/>
    <w:rsid w:val="008F19A8"/>
    <w:rsid w:val="008F7550"/>
    <w:rsid w:val="00900B25"/>
    <w:rsid w:val="00901663"/>
    <w:rsid w:val="009304EE"/>
    <w:rsid w:val="0094585A"/>
    <w:rsid w:val="00956433"/>
    <w:rsid w:val="0096470A"/>
    <w:rsid w:val="00984FFC"/>
    <w:rsid w:val="00990831"/>
    <w:rsid w:val="00991BB2"/>
    <w:rsid w:val="00995672"/>
    <w:rsid w:val="00995AAC"/>
    <w:rsid w:val="00996F38"/>
    <w:rsid w:val="009A68D0"/>
    <w:rsid w:val="009B235C"/>
    <w:rsid w:val="009B2E21"/>
    <w:rsid w:val="009C653C"/>
    <w:rsid w:val="009C68D4"/>
    <w:rsid w:val="009D19D9"/>
    <w:rsid w:val="009E0156"/>
    <w:rsid w:val="009E21AD"/>
    <w:rsid w:val="009F5C9F"/>
    <w:rsid w:val="00A23545"/>
    <w:rsid w:val="00A24D15"/>
    <w:rsid w:val="00A2730E"/>
    <w:rsid w:val="00A40DBC"/>
    <w:rsid w:val="00A64B31"/>
    <w:rsid w:val="00A84AFD"/>
    <w:rsid w:val="00A942F2"/>
    <w:rsid w:val="00AA10D0"/>
    <w:rsid w:val="00AA3772"/>
    <w:rsid w:val="00AA5721"/>
    <w:rsid w:val="00AA5E43"/>
    <w:rsid w:val="00AC1B83"/>
    <w:rsid w:val="00AC41EF"/>
    <w:rsid w:val="00AE5B85"/>
    <w:rsid w:val="00B12894"/>
    <w:rsid w:val="00B21612"/>
    <w:rsid w:val="00B25AA6"/>
    <w:rsid w:val="00B470FA"/>
    <w:rsid w:val="00B52F3F"/>
    <w:rsid w:val="00B713D2"/>
    <w:rsid w:val="00B7767A"/>
    <w:rsid w:val="00BA35B7"/>
    <w:rsid w:val="00BA4D45"/>
    <w:rsid w:val="00BA7C72"/>
    <w:rsid w:val="00BB3C13"/>
    <w:rsid w:val="00BB5B97"/>
    <w:rsid w:val="00BC1193"/>
    <w:rsid w:val="00BD25A5"/>
    <w:rsid w:val="00BD659B"/>
    <w:rsid w:val="00BE62C8"/>
    <w:rsid w:val="00BF54E8"/>
    <w:rsid w:val="00C04D6B"/>
    <w:rsid w:val="00C04F6B"/>
    <w:rsid w:val="00C15353"/>
    <w:rsid w:val="00C23620"/>
    <w:rsid w:val="00C23E7A"/>
    <w:rsid w:val="00C26A46"/>
    <w:rsid w:val="00C31941"/>
    <w:rsid w:val="00C32A3D"/>
    <w:rsid w:val="00C53FC0"/>
    <w:rsid w:val="00C55C0A"/>
    <w:rsid w:val="00C657C4"/>
    <w:rsid w:val="00C721E1"/>
    <w:rsid w:val="00C85C63"/>
    <w:rsid w:val="00C87E5E"/>
    <w:rsid w:val="00CC60DE"/>
    <w:rsid w:val="00CC647E"/>
    <w:rsid w:val="00CE323F"/>
    <w:rsid w:val="00CF4823"/>
    <w:rsid w:val="00CF510B"/>
    <w:rsid w:val="00CF585A"/>
    <w:rsid w:val="00D0020A"/>
    <w:rsid w:val="00D01077"/>
    <w:rsid w:val="00D073AF"/>
    <w:rsid w:val="00D10A65"/>
    <w:rsid w:val="00D117C7"/>
    <w:rsid w:val="00D119B9"/>
    <w:rsid w:val="00D1367C"/>
    <w:rsid w:val="00D16058"/>
    <w:rsid w:val="00D24E37"/>
    <w:rsid w:val="00D449CC"/>
    <w:rsid w:val="00D55C07"/>
    <w:rsid w:val="00D80CC2"/>
    <w:rsid w:val="00D860FC"/>
    <w:rsid w:val="00D86C5B"/>
    <w:rsid w:val="00D970DC"/>
    <w:rsid w:val="00DA5563"/>
    <w:rsid w:val="00DB4CB9"/>
    <w:rsid w:val="00DB5812"/>
    <w:rsid w:val="00DB587E"/>
    <w:rsid w:val="00DB5F38"/>
    <w:rsid w:val="00DC5078"/>
    <w:rsid w:val="00DC7937"/>
    <w:rsid w:val="00DD012B"/>
    <w:rsid w:val="00DD24B0"/>
    <w:rsid w:val="00DE29A6"/>
    <w:rsid w:val="00E04546"/>
    <w:rsid w:val="00E20CC6"/>
    <w:rsid w:val="00E24CDE"/>
    <w:rsid w:val="00E47DB0"/>
    <w:rsid w:val="00E50276"/>
    <w:rsid w:val="00E56655"/>
    <w:rsid w:val="00E61B1D"/>
    <w:rsid w:val="00E66A71"/>
    <w:rsid w:val="00E81C09"/>
    <w:rsid w:val="00E92A2A"/>
    <w:rsid w:val="00E952F6"/>
    <w:rsid w:val="00EA75EB"/>
    <w:rsid w:val="00EB5CA2"/>
    <w:rsid w:val="00EC3506"/>
    <w:rsid w:val="00EC3D7D"/>
    <w:rsid w:val="00EE6264"/>
    <w:rsid w:val="00F11596"/>
    <w:rsid w:val="00F121A6"/>
    <w:rsid w:val="00F20161"/>
    <w:rsid w:val="00F21309"/>
    <w:rsid w:val="00F233BE"/>
    <w:rsid w:val="00F30AB7"/>
    <w:rsid w:val="00F32C3C"/>
    <w:rsid w:val="00F47273"/>
    <w:rsid w:val="00F503FD"/>
    <w:rsid w:val="00F709B1"/>
    <w:rsid w:val="00F72347"/>
    <w:rsid w:val="00F74790"/>
    <w:rsid w:val="00F81C48"/>
    <w:rsid w:val="00F82075"/>
    <w:rsid w:val="00F92C68"/>
    <w:rsid w:val="00F92DA6"/>
    <w:rsid w:val="00F960C2"/>
    <w:rsid w:val="00FC339F"/>
    <w:rsid w:val="00FF4C90"/>
    <w:rsid w:val="023A2E4D"/>
    <w:rsid w:val="03F03CFE"/>
    <w:rsid w:val="058E34A1"/>
    <w:rsid w:val="062F03D1"/>
    <w:rsid w:val="06473C1E"/>
    <w:rsid w:val="06FF4BF4"/>
    <w:rsid w:val="077F49D9"/>
    <w:rsid w:val="078F5954"/>
    <w:rsid w:val="0843388A"/>
    <w:rsid w:val="0946401C"/>
    <w:rsid w:val="09537BBB"/>
    <w:rsid w:val="0BE22674"/>
    <w:rsid w:val="0BE75637"/>
    <w:rsid w:val="0FA30E6F"/>
    <w:rsid w:val="0FC029F1"/>
    <w:rsid w:val="10256D6D"/>
    <w:rsid w:val="10C6786D"/>
    <w:rsid w:val="1291752C"/>
    <w:rsid w:val="12AE6CD5"/>
    <w:rsid w:val="13494DE8"/>
    <w:rsid w:val="139D3BFF"/>
    <w:rsid w:val="14495D88"/>
    <w:rsid w:val="14B04416"/>
    <w:rsid w:val="1529005E"/>
    <w:rsid w:val="15CB6137"/>
    <w:rsid w:val="15EE31F3"/>
    <w:rsid w:val="16E46A4C"/>
    <w:rsid w:val="178C32BE"/>
    <w:rsid w:val="182659F5"/>
    <w:rsid w:val="182A56AD"/>
    <w:rsid w:val="1852245C"/>
    <w:rsid w:val="1904310D"/>
    <w:rsid w:val="199C31DF"/>
    <w:rsid w:val="1A573A09"/>
    <w:rsid w:val="1A6C3379"/>
    <w:rsid w:val="1BFC5C7D"/>
    <w:rsid w:val="1C966FD5"/>
    <w:rsid w:val="1CDE54BF"/>
    <w:rsid w:val="1CE5029F"/>
    <w:rsid w:val="1E2E54F5"/>
    <w:rsid w:val="1E643F17"/>
    <w:rsid w:val="1ED442D9"/>
    <w:rsid w:val="1F673915"/>
    <w:rsid w:val="1FDA3A51"/>
    <w:rsid w:val="204B3956"/>
    <w:rsid w:val="20B278A5"/>
    <w:rsid w:val="20DD55C0"/>
    <w:rsid w:val="21C0469C"/>
    <w:rsid w:val="220771FC"/>
    <w:rsid w:val="23B72D37"/>
    <w:rsid w:val="25160CB9"/>
    <w:rsid w:val="259A47EF"/>
    <w:rsid w:val="268D29FB"/>
    <w:rsid w:val="269E5D62"/>
    <w:rsid w:val="27027B2E"/>
    <w:rsid w:val="27030478"/>
    <w:rsid w:val="2736012C"/>
    <w:rsid w:val="285826D5"/>
    <w:rsid w:val="28E76FDC"/>
    <w:rsid w:val="2AC0252F"/>
    <w:rsid w:val="2AF81A06"/>
    <w:rsid w:val="2B6F15A9"/>
    <w:rsid w:val="2BA72F80"/>
    <w:rsid w:val="2BB17E15"/>
    <w:rsid w:val="2C250022"/>
    <w:rsid w:val="2C2E0108"/>
    <w:rsid w:val="2C956C42"/>
    <w:rsid w:val="2DB14A97"/>
    <w:rsid w:val="2DC70815"/>
    <w:rsid w:val="2EEF5FC7"/>
    <w:rsid w:val="2F675B16"/>
    <w:rsid w:val="301E094A"/>
    <w:rsid w:val="3051542D"/>
    <w:rsid w:val="3055595C"/>
    <w:rsid w:val="315C158C"/>
    <w:rsid w:val="325E175D"/>
    <w:rsid w:val="32B22DDA"/>
    <w:rsid w:val="3339457C"/>
    <w:rsid w:val="337944D2"/>
    <w:rsid w:val="33E4331C"/>
    <w:rsid w:val="33F872B9"/>
    <w:rsid w:val="34C4567A"/>
    <w:rsid w:val="350B21DD"/>
    <w:rsid w:val="35937D60"/>
    <w:rsid w:val="36A879FE"/>
    <w:rsid w:val="36DD2996"/>
    <w:rsid w:val="372213BA"/>
    <w:rsid w:val="383D405A"/>
    <w:rsid w:val="39BF7155"/>
    <w:rsid w:val="39CC2459"/>
    <w:rsid w:val="3AC62DC0"/>
    <w:rsid w:val="3BC174F9"/>
    <w:rsid w:val="3C383251"/>
    <w:rsid w:val="3D1F72F5"/>
    <w:rsid w:val="3DE95EBA"/>
    <w:rsid w:val="3F0D1B7A"/>
    <w:rsid w:val="3FB0180D"/>
    <w:rsid w:val="40AD5CE6"/>
    <w:rsid w:val="40CD24F9"/>
    <w:rsid w:val="40FA2BFE"/>
    <w:rsid w:val="41CA3105"/>
    <w:rsid w:val="42606EAF"/>
    <w:rsid w:val="42FA56DF"/>
    <w:rsid w:val="455E565D"/>
    <w:rsid w:val="458C4A0E"/>
    <w:rsid w:val="48816CCE"/>
    <w:rsid w:val="48A8630E"/>
    <w:rsid w:val="4943594D"/>
    <w:rsid w:val="49850274"/>
    <w:rsid w:val="498A65BA"/>
    <w:rsid w:val="4A664A2C"/>
    <w:rsid w:val="4AA13ED7"/>
    <w:rsid w:val="4AB46483"/>
    <w:rsid w:val="4B7B0721"/>
    <w:rsid w:val="4CCA5F82"/>
    <w:rsid w:val="4D4D3934"/>
    <w:rsid w:val="4D8D72A6"/>
    <w:rsid w:val="4DAB4926"/>
    <w:rsid w:val="4E002804"/>
    <w:rsid w:val="4EC57926"/>
    <w:rsid w:val="4ECF03F7"/>
    <w:rsid w:val="4F4874D4"/>
    <w:rsid w:val="4FF926E4"/>
    <w:rsid w:val="50D7268E"/>
    <w:rsid w:val="50F12A40"/>
    <w:rsid w:val="51153306"/>
    <w:rsid w:val="51B318A1"/>
    <w:rsid w:val="51F034BC"/>
    <w:rsid w:val="52FB1D75"/>
    <w:rsid w:val="53114E0A"/>
    <w:rsid w:val="54566540"/>
    <w:rsid w:val="548B61C9"/>
    <w:rsid w:val="54CE3B21"/>
    <w:rsid w:val="551F4605"/>
    <w:rsid w:val="567D633A"/>
    <w:rsid w:val="56E73A57"/>
    <w:rsid w:val="57C734F3"/>
    <w:rsid w:val="59ED7F92"/>
    <w:rsid w:val="5A922C96"/>
    <w:rsid w:val="5B0B73D7"/>
    <w:rsid w:val="5B8E29D3"/>
    <w:rsid w:val="5C0F6237"/>
    <w:rsid w:val="5C1318BA"/>
    <w:rsid w:val="5CB96835"/>
    <w:rsid w:val="5DB1357E"/>
    <w:rsid w:val="5E19641D"/>
    <w:rsid w:val="5E8555FC"/>
    <w:rsid w:val="5F396A73"/>
    <w:rsid w:val="5F5E4975"/>
    <w:rsid w:val="5FB90C8E"/>
    <w:rsid w:val="5FDD19FA"/>
    <w:rsid w:val="606A4298"/>
    <w:rsid w:val="635138B4"/>
    <w:rsid w:val="63CB482A"/>
    <w:rsid w:val="64120FA7"/>
    <w:rsid w:val="64844168"/>
    <w:rsid w:val="65815AE7"/>
    <w:rsid w:val="65C44333"/>
    <w:rsid w:val="65FB3304"/>
    <w:rsid w:val="66734DE6"/>
    <w:rsid w:val="669433A6"/>
    <w:rsid w:val="66D6776C"/>
    <w:rsid w:val="68FA1419"/>
    <w:rsid w:val="6909361B"/>
    <w:rsid w:val="69295FF2"/>
    <w:rsid w:val="69402E19"/>
    <w:rsid w:val="698A4420"/>
    <w:rsid w:val="6A0970E9"/>
    <w:rsid w:val="6AF0478A"/>
    <w:rsid w:val="6B0179BA"/>
    <w:rsid w:val="6C133E5E"/>
    <w:rsid w:val="6C37002E"/>
    <w:rsid w:val="6C8E17B3"/>
    <w:rsid w:val="6D4A3F3F"/>
    <w:rsid w:val="6D535020"/>
    <w:rsid w:val="6E4300FA"/>
    <w:rsid w:val="6FCF744E"/>
    <w:rsid w:val="6FD3454E"/>
    <w:rsid w:val="702C4659"/>
    <w:rsid w:val="708F339A"/>
    <w:rsid w:val="720F4D65"/>
    <w:rsid w:val="725E6673"/>
    <w:rsid w:val="72841B99"/>
    <w:rsid w:val="751016DE"/>
    <w:rsid w:val="76974875"/>
    <w:rsid w:val="77C54382"/>
    <w:rsid w:val="77CA4EC1"/>
    <w:rsid w:val="77D50462"/>
    <w:rsid w:val="78DD253E"/>
    <w:rsid w:val="797268D7"/>
    <w:rsid w:val="79872B48"/>
    <w:rsid w:val="79C87E8E"/>
    <w:rsid w:val="7AA352E3"/>
    <w:rsid w:val="7AC666D6"/>
    <w:rsid w:val="7B235C80"/>
    <w:rsid w:val="7B984DBF"/>
    <w:rsid w:val="7C324A89"/>
    <w:rsid w:val="7CDC1436"/>
    <w:rsid w:val="7D656156"/>
    <w:rsid w:val="7E4668CA"/>
    <w:rsid w:val="7EC573B7"/>
    <w:rsid w:val="7ED059C4"/>
    <w:rsid w:val="7F51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2" w:firstLineChars="200"/>
    </w:pPr>
    <w:rPr>
      <w:rFonts w:ascii="Times New Roman" w:hAnsi="Times New Roman" w:eastAsia="仿宋_GB2312" w:cs="Times New Roman"/>
      <w:kern w:val="2"/>
      <w:sz w:val="28"/>
      <w:szCs w:val="22"/>
      <w:lang w:val="en-US" w:eastAsia="zh-CN" w:bidi="ar-SA"/>
    </w:rPr>
  </w:style>
  <w:style w:type="paragraph" w:styleId="3">
    <w:name w:val="heading 1"/>
    <w:basedOn w:val="1"/>
    <w:next w:val="1"/>
    <w:qFormat/>
    <w:uiPriority w:val="9"/>
    <w:pPr>
      <w:keepNext/>
      <w:keepLines/>
      <w:outlineLvl w:val="0"/>
    </w:pPr>
    <w:rPr>
      <w:rFonts w:eastAsia="仿宋"/>
      <w:b/>
      <w:bCs/>
      <w:kern w:val="44"/>
      <w:sz w:val="32"/>
      <w:szCs w:val="44"/>
    </w:rPr>
  </w:style>
  <w:style w:type="paragraph" w:styleId="4">
    <w:name w:val="heading 2"/>
    <w:basedOn w:val="1"/>
    <w:next w:val="1"/>
    <w:qFormat/>
    <w:uiPriority w:val="9"/>
    <w:pPr>
      <w:keepNext/>
      <w:keepLines/>
      <w:outlineLvl w:val="1"/>
    </w:pPr>
    <w:rPr>
      <w:rFonts w:ascii="Cambria" w:hAnsi="Cambria" w:eastAsia="仿宋"/>
      <w:b/>
      <w:bCs/>
      <w:sz w:val="30"/>
      <w:szCs w:val="32"/>
    </w:rPr>
  </w:style>
  <w:style w:type="paragraph" w:styleId="5">
    <w:name w:val="heading 3"/>
    <w:basedOn w:val="1"/>
    <w:next w:val="1"/>
    <w:qFormat/>
    <w:uiPriority w:val="9"/>
    <w:pPr>
      <w:keepNext/>
      <w:keepLines/>
      <w:outlineLvl w:val="2"/>
    </w:pPr>
    <w:rPr>
      <w:rFonts w:eastAsia="仿宋"/>
      <w:b/>
      <w:bCs/>
      <w:szCs w:val="32"/>
    </w:rPr>
  </w:style>
  <w:style w:type="paragraph" w:styleId="6">
    <w:name w:val="heading 4"/>
    <w:basedOn w:val="1"/>
    <w:next w:val="1"/>
    <w:unhideWhenUsed/>
    <w:qFormat/>
    <w:uiPriority w:val="0"/>
    <w:pPr>
      <w:keepNext/>
      <w:keepLines/>
      <w:outlineLvl w:val="3"/>
    </w:pPr>
    <w:rPr>
      <w:rFonts w:eastAsia="仿宋"/>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7">
    <w:name w:val="index 8"/>
    <w:basedOn w:val="1"/>
    <w:next w:val="1"/>
    <w:qFormat/>
    <w:uiPriority w:val="99"/>
    <w:pPr>
      <w:ind w:left="2940"/>
    </w:pPr>
  </w:style>
  <w:style w:type="paragraph" w:styleId="8">
    <w:name w:val="caption"/>
    <w:basedOn w:val="1"/>
    <w:next w:val="1"/>
    <w:semiHidden/>
    <w:unhideWhenUsed/>
    <w:qFormat/>
    <w:uiPriority w:val="0"/>
    <w:rPr>
      <w:rFonts w:ascii="Arial" w:hAnsi="Arial" w:eastAsia="黑体"/>
      <w:sz w:val="20"/>
    </w:rPr>
  </w:style>
  <w:style w:type="paragraph" w:styleId="9">
    <w:name w:val="annotation text"/>
    <w:basedOn w:val="1"/>
    <w:semiHidden/>
    <w:unhideWhenUsed/>
    <w:qFormat/>
    <w:uiPriority w:val="0"/>
  </w:style>
  <w:style w:type="paragraph" w:styleId="10">
    <w:name w:val="Body Text 3"/>
    <w:basedOn w:val="1"/>
    <w:next w:val="11"/>
    <w:unhideWhenUsed/>
    <w:qFormat/>
    <w:uiPriority w:val="99"/>
    <w:pPr>
      <w:spacing w:before="100" w:beforeAutospacing="1" w:after="120"/>
    </w:pPr>
    <w:rPr>
      <w:sz w:val="16"/>
      <w:szCs w:val="16"/>
    </w:rPr>
  </w:style>
  <w:style w:type="paragraph" w:customStyle="1" w:styleId="11">
    <w:name w:val="Char1"/>
    <w:basedOn w:val="1"/>
    <w:qFormat/>
    <w:uiPriority w:val="0"/>
    <w:pPr>
      <w:spacing w:before="100" w:beforeAutospacing="1" w:after="100" w:afterAutospacing="1"/>
      <w:ind w:left="840" w:hanging="420"/>
    </w:pPr>
    <w:rPr>
      <w:sz w:val="24"/>
      <w:szCs w:val="24"/>
    </w:rPr>
  </w:style>
  <w:style w:type="paragraph" w:styleId="12">
    <w:name w:val="Body Text"/>
    <w:basedOn w:val="1"/>
    <w:next w:val="1"/>
    <w:qFormat/>
    <w:uiPriority w:val="0"/>
    <w:pPr>
      <w:spacing w:before="100" w:beforeAutospacing="1" w:after="120"/>
    </w:pPr>
    <w:rPr>
      <w:rFonts w:ascii="Calibri" w:hAnsi="Calibri"/>
      <w:szCs w:val="21"/>
    </w:rPr>
  </w:style>
  <w:style w:type="paragraph" w:styleId="13">
    <w:name w:val="Body Text Indent"/>
    <w:basedOn w:val="1"/>
    <w:qFormat/>
    <w:uiPriority w:val="0"/>
    <w:pPr>
      <w:adjustRightInd w:val="0"/>
      <w:spacing w:line="240" w:lineRule="auto"/>
      <w:ind w:firstLine="560"/>
    </w:pPr>
    <w:rPr>
      <w:szCs w:val="30"/>
    </w:rPr>
  </w:style>
  <w:style w:type="paragraph" w:styleId="14">
    <w:name w:val="toc 3"/>
    <w:basedOn w:val="1"/>
    <w:next w:val="1"/>
    <w:qFormat/>
    <w:uiPriority w:val="39"/>
    <w:pPr>
      <w:ind w:left="840" w:leftChars="400"/>
    </w:pPr>
  </w:style>
  <w:style w:type="paragraph" w:styleId="15">
    <w:name w:val="Date"/>
    <w:basedOn w:val="1"/>
    <w:next w:val="1"/>
    <w:link w:val="42"/>
    <w:semiHidden/>
    <w:unhideWhenUsed/>
    <w:qFormat/>
    <w:uiPriority w:val="0"/>
    <w:pPr>
      <w:ind w:left="100" w:leftChars="2500"/>
    </w:pPr>
  </w:style>
  <w:style w:type="paragraph" w:styleId="16">
    <w:name w:val="Balloon Text"/>
    <w:basedOn w:val="1"/>
    <w:link w:val="40"/>
    <w:qFormat/>
    <w:uiPriority w:val="0"/>
    <w:rPr>
      <w:sz w:val="18"/>
      <w:szCs w:val="18"/>
    </w:rPr>
  </w:style>
  <w:style w:type="paragraph" w:styleId="17">
    <w:name w:val="footer"/>
    <w:basedOn w:val="1"/>
    <w:link w:val="41"/>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Body Text First Indent 2"/>
    <w:basedOn w:val="13"/>
    <w:qFormat/>
    <w:uiPriority w:val="0"/>
    <w:pPr>
      <w:ind w:left="200" w:leftChars="200" w:firstLine="420"/>
    </w:pPr>
    <w:rPr>
      <w:rFonts w:hAnsi="Calibri" w:eastAsia="宋体"/>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954F72"/>
      <w:u w:val="single"/>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0"/>
    <w:rPr>
      <w:sz w:val="21"/>
      <w:szCs w:val="21"/>
    </w:rPr>
  </w:style>
  <w:style w:type="character" w:customStyle="1" w:styleId="28">
    <w:name w:val="font11"/>
    <w:basedOn w:val="24"/>
    <w:qFormat/>
    <w:uiPriority w:val="0"/>
    <w:rPr>
      <w:rFonts w:hint="default" w:ascii="Times New Roman" w:hAnsi="Times New Roman" w:cs="Times New Roman"/>
      <w:color w:val="000000"/>
      <w:sz w:val="18"/>
      <w:szCs w:val="18"/>
      <w:u w:val="none"/>
    </w:rPr>
  </w:style>
  <w:style w:type="character" w:customStyle="1" w:styleId="29">
    <w:name w:val="font21"/>
    <w:basedOn w:val="24"/>
    <w:qFormat/>
    <w:uiPriority w:val="0"/>
    <w:rPr>
      <w:rFonts w:hint="default" w:ascii="仿宋_GB2312" w:eastAsia="仿宋_GB2312" w:cs="仿宋_GB2312"/>
      <w:color w:val="000000"/>
      <w:sz w:val="18"/>
      <w:szCs w:val="18"/>
      <w:u w:val="none"/>
    </w:rPr>
  </w:style>
  <w:style w:type="character" w:customStyle="1" w:styleId="30">
    <w:name w:val="font91"/>
    <w:basedOn w:val="24"/>
    <w:qFormat/>
    <w:uiPriority w:val="0"/>
    <w:rPr>
      <w:rFonts w:hint="eastAsia" w:ascii="宋体" w:hAnsi="宋体" w:eastAsia="宋体" w:cs="宋体"/>
      <w:color w:val="000000"/>
      <w:sz w:val="18"/>
      <w:szCs w:val="18"/>
      <w:u w:val="none"/>
    </w:rPr>
  </w:style>
  <w:style w:type="character" w:customStyle="1" w:styleId="31">
    <w:name w:val="font51"/>
    <w:basedOn w:val="24"/>
    <w:qFormat/>
    <w:uiPriority w:val="0"/>
    <w:rPr>
      <w:rFonts w:hint="default" w:ascii="Times New Roman" w:hAnsi="Times New Roman" w:cs="Times New Roman"/>
      <w:color w:val="000000"/>
      <w:sz w:val="20"/>
      <w:szCs w:val="20"/>
      <w:u w:val="none"/>
    </w:rPr>
  </w:style>
  <w:style w:type="character" w:customStyle="1" w:styleId="32">
    <w:name w:val="font81"/>
    <w:basedOn w:val="24"/>
    <w:qFormat/>
    <w:uiPriority w:val="0"/>
    <w:rPr>
      <w:rFonts w:hint="eastAsia" w:ascii="宋体" w:hAnsi="宋体" w:eastAsia="宋体" w:cs="宋体"/>
      <w:color w:val="000000"/>
      <w:sz w:val="20"/>
      <w:szCs w:val="20"/>
      <w:u w:val="none"/>
    </w:rPr>
  </w:style>
  <w:style w:type="character" w:customStyle="1" w:styleId="33">
    <w:name w:val="font71"/>
    <w:basedOn w:val="24"/>
    <w:qFormat/>
    <w:uiPriority w:val="0"/>
    <w:rPr>
      <w:rFonts w:hint="default" w:ascii="仿宋_GB2312" w:eastAsia="仿宋_GB2312" w:cs="仿宋_GB2312"/>
      <w:color w:val="000000"/>
      <w:sz w:val="21"/>
      <w:szCs w:val="21"/>
      <w:u w:val="none"/>
    </w:rPr>
  </w:style>
  <w:style w:type="paragraph" w:customStyle="1" w:styleId="34">
    <w:name w:val="列出段落11"/>
    <w:basedOn w:val="1"/>
    <w:qFormat/>
    <w:uiPriority w:val="34"/>
    <w:pPr>
      <w:ind w:left="720"/>
    </w:pPr>
    <w:rPr>
      <w:szCs w:val="24"/>
    </w:rPr>
  </w:style>
  <w:style w:type="character" w:customStyle="1" w:styleId="35">
    <w:name w:val="apple-converted-space"/>
    <w:basedOn w:val="24"/>
    <w:qFormat/>
    <w:uiPriority w:val="0"/>
  </w:style>
  <w:style w:type="paragraph" w:customStyle="1" w:styleId="36">
    <w:name w:val="列表段落1"/>
    <w:basedOn w:val="1"/>
    <w:qFormat/>
    <w:uiPriority w:val="34"/>
    <w:pPr>
      <w:ind w:firstLine="420"/>
    </w:pPr>
  </w:style>
  <w:style w:type="character" w:customStyle="1" w:styleId="37">
    <w:name w:val="页眉 Char"/>
    <w:basedOn w:val="24"/>
    <w:link w:val="18"/>
    <w:qFormat/>
    <w:uiPriority w:val="99"/>
    <w:rPr>
      <w:rFonts w:cs="Times New Roman"/>
      <w:kern w:val="2"/>
      <w:sz w:val="18"/>
      <w:szCs w:val="18"/>
    </w:rPr>
  </w:style>
  <w:style w:type="paragraph" w:styleId="38">
    <w:name w:val="List Paragraph"/>
    <w:basedOn w:val="1"/>
    <w:qFormat/>
    <w:uiPriority w:val="99"/>
    <w:pPr>
      <w:ind w:firstLine="420"/>
    </w:pPr>
  </w:style>
  <w:style w:type="paragraph" w:customStyle="1" w:styleId="39">
    <w:name w:val="TOC 标题1"/>
    <w:basedOn w:val="3"/>
    <w:next w:val="1"/>
    <w:unhideWhenUsed/>
    <w:qFormat/>
    <w:uiPriority w:val="39"/>
    <w:pPr>
      <w:widowControl/>
      <w:spacing w:before="240" w:line="259" w:lineRule="auto"/>
      <w:outlineLvl w:val="9"/>
    </w:pPr>
    <w:rPr>
      <w:rFonts w:asciiTheme="majorHAnsi" w:hAnsiTheme="majorHAnsi" w:eastAsiaTheme="majorEastAsia" w:cstheme="majorBidi"/>
      <w:b w:val="0"/>
      <w:bCs w:val="0"/>
      <w:color w:val="2E75B6" w:themeColor="accent1" w:themeShade="BF"/>
      <w:kern w:val="0"/>
      <w:szCs w:val="32"/>
    </w:rPr>
  </w:style>
  <w:style w:type="character" w:customStyle="1" w:styleId="40">
    <w:name w:val="批注框文本 Char"/>
    <w:basedOn w:val="24"/>
    <w:link w:val="16"/>
    <w:qFormat/>
    <w:uiPriority w:val="0"/>
    <w:rPr>
      <w:rFonts w:cs="Times New Roman"/>
      <w:kern w:val="2"/>
      <w:sz w:val="18"/>
      <w:szCs w:val="18"/>
    </w:rPr>
  </w:style>
  <w:style w:type="character" w:customStyle="1" w:styleId="41">
    <w:name w:val="页脚 Char"/>
    <w:basedOn w:val="24"/>
    <w:link w:val="17"/>
    <w:qFormat/>
    <w:uiPriority w:val="99"/>
    <w:rPr>
      <w:rFonts w:asciiTheme="minorHAnsi" w:hAnsiTheme="minorHAnsi" w:eastAsiaTheme="minorEastAsia" w:cstheme="minorBidi"/>
      <w:kern w:val="2"/>
      <w:sz w:val="18"/>
      <w:szCs w:val="18"/>
    </w:rPr>
  </w:style>
  <w:style w:type="character" w:customStyle="1" w:styleId="42">
    <w:name w:val="日期 Char"/>
    <w:basedOn w:val="24"/>
    <w:link w:val="15"/>
    <w:semiHidden/>
    <w:qFormat/>
    <w:uiPriority w:val="0"/>
    <w:rPr>
      <w:rFonts w:cs="Times New Roman"/>
      <w:kern w:val="2"/>
      <w:sz w:val="21"/>
      <w:szCs w:val="22"/>
    </w:rPr>
  </w:style>
  <w:style w:type="paragraph" w:customStyle="1" w:styleId="43">
    <w:name w:val="font5"/>
    <w:basedOn w:val="1"/>
    <w:qFormat/>
    <w:uiPriority w:val="0"/>
    <w:pPr>
      <w:widowControl/>
      <w:spacing w:before="100" w:beforeAutospacing="1" w:after="100" w:afterAutospacing="1"/>
    </w:pPr>
    <w:rPr>
      <w:rFonts w:ascii="宋体" w:hAnsi="宋体" w:cs="宋体"/>
      <w:kern w:val="0"/>
      <w:sz w:val="18"/>
      <w:szCs w:val="18"/>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szCs w:val="24"/>
    </w:rPr>
  </w:style>
  <w:style w:type="paragraph" w:customStyle="1" w:styleId="58">
    <w:name w:val="绩效报告排版"/>
    <w:basedOn w:val="4"/>
    <w:next w:val="1"/>
    <w:qFormat/>
    <w:uiPriority w:val="0"/>
  </w:style>
  <w:style w:type="paragraph" w:customStyle="1" w:styleId="59">
    <w:name w:val="报告正文"/>
    <w:basedOn w:val="60"/>
    <w:next w:val="1"/>
    <w:link w:val="62"/>
    <w:qFormat/>
    <w:uiPriority w:val="0"/>
    <w:pPr>
      <w:spacing w:line="360" w:lineRule="auto"/>
      <w:ind w:firstLine="200" w:firstLineChars="200"/>
      <w:jc w:val="both"/>
    </w:pPr>
    <w:rPr>
      <w:rFonts w:ascii="Times New Roman" w:hAnsi="Times New Roman" w:eastAsia="仿宋"/>
      <w:sz w:val="28"/>
    </w:rPr>
  </w:style>
  <w:style w:type="paragraph" w:customStyle="1" w:styleId="6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1">
    <w:name w:val="font41"/>
    <w:basedOn w:val="24"/>
    <w:qFormat/>
    <w:uiPriority w:val="0"/>
    <w:rPr>
      <w:rFonts w:hint="eastAsia" w:ascii="仿宋" w:hAnsi="仿宋" w:eastAsia="仿宋" w:cs="仿宋"/>
      <w:color w:val="000000"/>
      <w:sz w:val="21"/>
      <w:szCs w:val="21"/>
      <w:u w:val="none"/>
    </w:rPr>
  </w:style>
  <w:style w:type="character" w:customStyle="1" w:styleId="62">
    <w:name w:val="报告正文 字符"/>
    <w:basedOn w:val="24"/>
    <w:link w:val="59"/>
    <w:qFormat/>
    <w:uiPriority w:val="0"/>
    <w:rPr>
      <w:rFonts w:eastAsia="仿宋" w:cs="仿宋_GB2312"/>
      <w:color w:val="000000"/>
      <w:sz w:val="28"/>
      <w:szCs w:val="24"/>
    </w:rPr>
  </w:style>
  <w:style w:type="paragraph" w:customStyle="1" w:styleId="63">
    <w:name w:val="报告1级标题"/>
    <w:basedOn w:val="3"/>
    <w:qFormat/>
    <w:uiPriority w:val="0"/>
    <w:pPr>
      <w:adjustRightInd w:val="0"/>
      <w:snapToGrid w:val="0"/>
    </w:pPr>
    <w:rPr>
      <w:szCs w:val="28"/>
    </w:rPr>
  </w:style>
  <w:style w:type="table" w:customStyle="1" w:styleId="64">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5">
    <w:name w:val="font3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CBEA8-4C76-4F09-85F5-B7D64969EC3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14228</Words>
  <Characters>21112</Characters>
  <Lines>239</Lines>
  <Paragraphs>67</Paragraphs>
  <TotalTime>101</TotalTime>
  <ScaleCrop>false</ScaleCrop>
  <LinksUpToDate>false</LinksUpToDate>
  <CharactersWithSpaces>22392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2021-12-25T05:47:00Z</dcterms:created>
  <dc:creator>DELL</dc:creator>
  <cp:lastModifiedBy>东风</cp:lastModifiedBy>
  <cp:lastPrinted>2022-08-16T03:18:00Z</cp:lastPrinted>
  <dcterms:modified xsi:type="dcterms:W3CDTF">2023-03-06T02:44:36Z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0336C3515B83480D86AE3884B2C1B7DF</vt:lpwstr>
  </property>
</Properties>
</file>