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pPr>
      <w:bookmarkStart w:id="0" w:name="_Hlk532202767"/>
    </w:p>
    <w:p>
      <w:pPr>
        <w:pStyle w:val="18"/>
        <w:ind w:left="560" w:firstLine="560"/>
      </w:pPr>
    </w:p>
    <w:p>
      <w:pPr>
        <w:spacing w:line="240" w:lineRule="auto"/>
        <w:ind w:firstLine="562"/>
        <w:jc w:val="center"/>
        <w:rPr>
          <w:b/>
        </w:rPr>
      </w:pPr>
    </w:p>
    <w:p>
      <w:pPr>
        <w:spacing w:line="240" w:lineRule="auto"/>
        <w:ind w:firstLine="562"/>
        <w:jc w:val="center"/>
        <w:rPr>
          <w:b/>
        </w:rPr>
      </w:pPr>
    </w:p>
    <w:p>
      <w:pPr>
        <w:ind w:firstLine="0" w:firstLineChars="0"/>
        <w:jc w:val="center"/>
        <w:rPr>
          <w:b/>
        </w:rPr>
      </w:pPr>
    </w:p>
    <w:p>
      <w:pPr>
        <w:ind w:firstLine="0" w:firstLineChars="0"/>
        <w:jc w:val="center"/>
        <w:rPr>
          <w:rFonts w:eastAsia="黑体"/>
          <w:b/>
          <w:sz w:val="44"/>
          <w:szCs w:val="44"/>
        </w:rPr>
      </w:pPr>
    </w:p>
    <w:p>
      <w:pPr>
        <w:pStyle w:val="18"/>
        <w:ind w:left="0" w:leftChars="0" w:firstLine="0" w:firstLineChars="0"/>
        <w:rPr>
          <w:rFonts w:hAnsi="Times New Roman"/>
        </w:rPr>
      </w:pPr>
    </w:p>
    <w:p>
      <w:pPr>
        <w:ind w:firstLine="0" w:firstLineChars="0"/>
        <w:jc w:val="center"/>
        <w:rPr>
          <w:b/>
          <w:sz w:val="44"/>
          <w:szCs w:val="44"/>
        </w:rPr>
      </w:pPr>
      <w:bookmarkStart w:id="1" w:name="_Hlk532284941"/>
      <w:bookmarkStart w:id="2" w:name="_Hlk532033633"/>
      <w:r>
        <w:rPr>
          <w:rFonts w:hint="eastAsia"/>
          <w:b/>
          <w:sz w:val="44"/>
          <w:szCs w:val="44"/>
        </w:rPr>
        <w:t>柞水</w:t>
      </w:r>
      <w:r>
        <w:rPr>
          <w:b/>
          <w:sz w:val="44"/>
          <w:szCs w:val="44"/>
        </w:rPr>
        <w:t>县</w:t>
      </w:r>
      <w:bookmarkEnd w:id="1"/>
      <w:bookmarkEnd w:id="2"/>
      <w:r>
        <w:rPr>
          <w:rFonts w:hint="eastAsia"/>
          <w:b/>
          <w:sz w:val="44"/>
          <w:szCs w:val="44"/>
        </w:rPr>
        <w:t>司法局</w:t>
      </w:r>
      <w:r>
        <w:rPr>
          <w:b/>
          <w:sz w:val="44"/>
          <w:szCs w:val="44"/>
        </w:rPr>
        <w:t>2021年部门整体支出</w:t>
      </w:r>
    </w:p>
    <w:p>
      <w:pPr>
        <w:spacing w:after="190" w:afterLines="50"/>
        <w:ind w:firstLine="0" w:firstLineChars="0"/>
        <w:jc w:val="center"/>
        <w:rPr>
          <w:b/>
          <w:sz w:val="44"/>
          <w:szCs w:val="44"/>
        </w:rPr>
      </w:pPr>
      <w:r>
        <w:rPr>
          <w:b/>
          <w:sz w:val="44"/>
          <w:szCs w:val="44"/>
        </w:rPr>
        <w:t>绩效评价报告</w:t>
      </w:r>
    </w:p>
    <w:p>
      <w:pPr>
        <w:ind w:firstLine="0" w:firstLineChars="0"/>
        <w:jc w:val="center"/>
        <w:rPr>
          <w:b/>
          <w:bCs/>
          <w:sz w:val="24"/>
          <w:szCs w:val="24"/>
        </w:rPr>
      </w:pPr>
    </w:p>
    <w:p>
      <w:pPr>
        <w:ind w:firstLine="560"/>
        <w:jc w:val="center"/>
        <w:rPr>
          <w:rFonts w:eastAsia="黑体"/>
        </w:rPr>
      </w:pPr>
    </w:p>
    <w:p>
      <w:pPr>
        <w:ind w:firstLine="560"/>
        <w:jc w:val="center"/>
        <w:rPr>
          <w:rFonts w:eastAsia="黑体"/>
        </w:rPr>
      </w:pPr>
    </w:p>
    <w:p>
      <w:pPr>
        <w:pStyle w:val="18"/>
        <w:ind w:left="560" w:firstLine="560"/>
        <w:rPr>
          <w:rFonts w:hAnsi="Times New Roman" w:eastAsia="黑体"/>
        </w:rPr>
      </w:pPr>
    </w:p>
    <w:p>
      <w:pPr>
        <w:ind w:firstLine="0" w:firstLineChars="0"/>
        <w:rPr>
          <w:rFonts w:eastAsia="黑体"/>
        </w:rPr>
      </w:pPr>
    </w:p>
    <w:p>
      <w:pPr>
        <w:autoSpaceDN w:val="0"/>
        <w:ind w:firstLine="562"/>
        <w:rPr>
          <w:b/>
          <w:bCs/>
          <w:color w:val="000000"/>
          <w:szCs w:val="28"/>
        </w:rPr>
      </w:pPr>
      <w:r>
        <w:rPr>
          <w:b/>
          <w:bCs/>
          <w:color w:val="000000"/>
          <w:szCs w:val="28"/>
        </w:rPr>
        <w:t>项目名称：柞水县司法局2021年部门整体支出</w:t>
      </w:r>
    </w:p>
    <w:p>
      <w:pPr>
        <w:pStyle w:val="18"/>
        <w:ind w:left="0" w:leftChars="0" w:firstLine="562"/>
        <w:rPr>
          <w:rFonts w:hAnsi="Times New Roman" w:eastAsia="仿宋"/>
          <w:b/>
          <w:bCs/>
          <w:color w:val="000000"/>
          <w:szCs w:val="28"/>
        </w:rPr>
      </w:pPr>
      <w:r>
        <w:rPr>
          <w:rFonts w:hAnsi="Times New Roman" w:eastAsia="仿宋"/>
          <w:b/>
          <w:bCs/>
          <w:color w:val="000000"/>
          <w:szCs w:val="28"/>
        </w:rPr>
        <w:t>评价类型：</w:t>
      </w:r>
      <w:r>
        <w:rPr>
          <w:rFonts w:hint="eastAsia" w:hAnsi="Times New Roman" w:eastAsia="仿宋"/>
          <w:b/>
          <w:bCs/>
          <w:color w:val="000000"/>
          <w:szCs w:val="28"/>
        </w:rPr>
        <w:t>部门整体支出</w:t>
      </w:r>
      <w:r>
        <w:rPr>
          <w:rFonts w:hAnsi="Times New Roman" w:eastAsia="仿宋"/>
          <w:b/>
          <w:bCs/>
          <w:color w:val="000000"/>
          <w:szCs w:val="28"/>
        </w:rPr>
        <w:t>绩效评价</w:t>
      </w:r>
    </w:p>
    <w:p>
      <w:pPr>
        <w:autoSpaceDN w:val="0"/>
        <w:ind w:firstLine="562"/>
        <w:rPr>
          <w:b/>
          <w:bCs/>
          <w:color w:val="000000"/>
          <w:szCs w:val="28"/>
        </w:rPr>
      </w:pPr>
      <w:r>
        <w:rPr>
          <w:b/>
          <w:bCs/>
          <w:color w:val="000000"/>
          <w:szCs w:val="28"/>
        </w:rPr>
        <w:t>主管部门：柞水县司法局</w:t>
      </w:r>
    </w:p>
    <w:p>
      <w:pPr>
        <w:autoSpaceDN w:val="0"/>
        <w:ind w:firstLine="562"/>
        <w:rPr>
          <w:b/>
          <w:bCs/>
          <w:color w:val="000000"/>
          <w:szCs w:val="28"/>
        </w:rPr>
      </w:pPr>
      <w:r>
        <w:rPr>
          <w:b/>
          <w:bCs/>
          <w:color w:val="000000"/>
          <w:szCs w:val="28"/>
        </w:rPr>
        <w:t>委托单位：</w:t>
      </w:r>
      <w:r>
        <w:rPr>
          <w:rFonts w:hint="eastAsia"/>
          <w:b/>
          <w:bCs/>
          <w:color w:val="000000"/>
          <w:szCs w:val="28"/>
        </w:rPr>
        <w:t>柞水</w:t>
      </w:r>
      <w:r>
        <w:rPr>
          <w:b/>
          <w:bCs/>
          <w:color w:val="000000"/>
          <w:szCs w:val="28"/>
        </w:rPr>
        <w:t>县财政局</w:t>
      </w:r>
    </w:p>
    <w:p>
      <w:pPr>
        <w:autoSpaceDN w:val="0"/>
        <w:ind w:firstLine="562"/>
        <w:rPr>
          <w:b/>
          <w:bCs/>
          <w:color w:val="000000"/>
          <w:szCs w:val="28"/>
        </w:rPr>
      </w:pPr>
      <w:r>
        <w:rPr>
          <w:b/>
          <w:bCs/>
          <w:color w:val="000000"/>
          <w:szCs w:val="28"/>
        </w:rPr>
        <w:t>评价机构：柞水县智信财务有限公司</w:t>
      </w:r>
    </w:p>
    <w:p>
      <w:pPr>
        <w:ind w:firstLine="562"/>
        <w:jc w:val="center"/>
        <w:rPr>
          <w:b/>
          <w:bCs/>
          <w:szCs w:val="28"/>
        </w:rPr>
      </w:pPr>
    </w:p>
    <w:p>
      <w:pPr>
        <w:ind w:firstLine="0" w:firstLineChars="0"/>
        <w:rPr>
          <w:b/>
          <w:bCs/>
          <w:color w:val="000000"/>
          <w:szCs w:val="28"/>
        </w:rPr>
      </w:pPr>
    </w:p>
    <w:p>
      <w:pPr>
        <w:ind w:firstLine="0" w:firstLineChars="0"/>
        <w:jc w:val="center"/>
        <w:rPr>
          <w:b/>
          <w:bCs/>
        </w:rPr>
      </w:pPr>
      <w:r>
        <w:rPr>
          <w:b/>
          <w:bCs/>
          <w:color w:val="000000"/>
          <w:szCs w:val="28"/>
        </w:rPr>
        <w:t>二〇二二年</w:t>
      </w:r>
      <w:r>
        <w:rPr>
          <w:rFonts w:hint="eastAsia"/>
          <w:b/>
          <w:bCs/>
          <w:color w:val="000000"/>
          <w:szCs w:val="28"/>
        </w:rPr>
        <w:t>十二</w:t>
      </w:r>
      <w:r>
        <w:rPr>
          <w:b/>
          <w:bCs/>
          <w:color w:val="000000"/>
          <w:szCs w:val="28"/>
        </w:rPr>
        <w:t>月</w:t>
      </w:r>
      <w:r>
        <w:rPr>
          <w:rFonts w:hint="eastAsia"/>
          <w:b/>
          <w:bCs/>
          <w:color w:val="000000"/>
          <w:szCs w:val="28"/>
        </w:rPr>
        <w:t>二十</w:t>
      </w:r>
      <w:r>
        <w:rPr>
          <w:b/>
          <w:bCs/>
          <w:color w:val="000000"/>
          <w:szCs w:val="28"/>
        </w:rPr>
        <w:t>日</w:t>
      </w:r>
    </w:p>
    <w:p>
      <w:pPr>
        <w:widowControl/>
        <w:spacing w:before="381" w:beforeLines="100" w:after="381" w:afterLines="100" w:line="240" w:lineRule="auto"/>
        <w:ind w:firstLine="0" w:firstLineChars="0"/>
        <w:jc w:val="center"/>
      </w:pPr>
      <w:r>
        <w:br w:type="page"/>
      </w:r>
      <w:bookmarkEnd w:id="0"/>
    </w:p>
    <w:p>
      <w:pPr>
        <w:tabs>
          <w:tab w:val="center" w:pos="4433"/>
        </w:tabs>
        <w:ind w:firstLine="560"/>
        <w:sectPr>
          <w:headerReference r:id="rId6" w:type="first"/>
          <w:footerReference r:id="rId8" w:type="first"/>
          <w:headerReference r:id="rId5" w:type="default"/>
          <w:footerReference r:id="rId7" w:type="default"/>
          <w:pgSz w:w="11906" w:h="16838"/>
          <w:pgMar w:top="1440" w:right="1800" w:bottom="1440" w:left="1800" w:header="851" w:footer="794" w:gutter="0"/>
          <w:pgNumType w:start="2"/>
          <w:cols w:space="720" w:num="1"/>
          <w:titlePg/>
          <w:docGrid w:linePitch="381" w:charSpace="0"/>
        </w:sectPr>
      </w:pPr>
    </w:p>
    <w:p>
      <w:pPr>
        <w:ind w:firstLine="0" w:firstLineChars="0"/>
        <w:jc w:val="center"/>
        <w:rPr>
          <w:b/>
          <w:sz w:val="36"/>
          <w:szCs w:val="36"/>
        </w:rPr>
      </w:pPr>
      <w:r>
        <w:rPr>
          <w:rFonts w:hint="eastAsia"/>
          <w:b/>
          <w:sz w:val="36"/>
          <w:szCs w:val="36"/>
        </w:rPr>
        <w:t>柞水县司法局</w:t>
      </w:r>
      <w:r>
        <w:rPr>
          <w:b/>
          <w:sz w:val="36"/>
          <w:szCs w:val="36"/>
        </w:rPr>
        <w:t>2021年部门整体支出</w:t>
      </w:r>
    </w:p>
    <w:p>
      <w:pPr>
        <w:spacing w:after="120" w:afterLines="50"/>
        <w:ind w:firstLine="0" w:firstLineChars="0"/>
        <w:jc w:val="center"/>
        <w:rPr>
          <w:b/>
          <w:sz w:val="36"/>
          <w:szCs w:val="36"/>
        </w:rPr>
      </w:pPr>
      <w:r>
        <w:rPr>
          <w:b/>
          <w:sz w:val="36"/>
          <w:szCs w:val="36"/>
        </w:rPr>
        <w:t>绩效评价报告</w:t>
      </w:r>
    </w:p>
    <w:p>
      <w:pPr>
        <w:pStyle w:val="18"/>
        <w:spacing w:after="240" w:afterLines="100" w:line="360" w:lineRule="auto"/>
        <w:ind w:left="0" w:leftChars="0" w:firstLine="0" w:firstLineChars="0"/>
        <w:jc w:val="center"/>
        <w:rPr>
          <w:rFonts w:hAnsi="Times New Roman" w:eastAsia="仿宋"/>
          <w:b/>
          <w:bCs/>
          <w:sz w:val="24"/>
          <w:szCs w:val="24"/>
        </w:rPr>
      </w:pPr>
    </w:p>
    <w:p>
      <w:pPr>
        <w:pStyle w:val="25"/>
        <w:ind w:firstLine="560"/>
      </w:pPr>
      <w:bookmarkStart w:id="3" w:name="_Toc16556"/>
      <w:r>
        <w:t>为进一步规范财政资金管理，强化部门责任意识，切实提高财政资金使用效益，根据</w:t>
      </w:r>
      <w:r>
        <w:rPr>
          <w:rFonts w:hint="eastAsia"/>
        </w:rPr>
        <w:t>商洛市委市政府</w:t>
      </w:r>
      <w:r>
        <w:t>《</w:t>
      </w:r>
      <w:r>
        <w:rPr>
          <w:rFonts w:hint="eastAsia"/>
        </w:rPr>
        <w:t>关于全面推进预算绩效管理的具体措施</w:t>
      </w:r>
      <w:r>
        <w:t>》（</w:t>
      </w:r>
      <w:r>
        <w:rPr>
          <w:rFonts w:hint="eastAsia"/>
        </w:rPr>
        <w:t>商</w:t>
      </w:r>
      <w:r>
        <w:t>发〔2019〕</w:t>
      </w:r>
      <w:r>
        <w:rPr>
          <w:rFonts w:hint="eastAsia"/>
        </w:rPr>
        <w:t>11</w:t>
      </w:r>
      <w:r>
        <w:t>9号）文件精神，结合财政支出管理的实际情况，受</w:t>
      </w:r>
      <w:r>
        <w:rPr>
          <w:rFonts w:hint="eastAsia"/>
        </w:rPr>
        <w:t>柞水县财政局</w:t>
      </w:r>
      <w:r>
        <w:t>的委托，柞水县智信财务有限公司承担起</w:t>
      </w:r>
      <w:r>
        <w:rPr>
          <w:rFonts w:hint="eastAsia"/>
        </w:rPr>
        <w:t>柞水县司法局</w:t>
      </w:r>
      <w:r>
        <w:t>2021年部门整体支出绩效评价报告工作。我公司特开展本次评价，经过资金使用情况核查、项目数据采集、访谈等必要的评价程序，运用绩效分析和统计方法，在梳理、分析评价数据资料的基础上，形成本绩效评价报告。</w:t>
      </w:r>
      <w:bookmarkStart w:id="4" w:name="_Toc28968"/>
    </w:p>
    <w:p>
      <w:pPr>
        <w:pStyle w:val="25"/>
        <w:ind w:firstLine="560"/>
        <w:rPr>
          <w:b w:val="0"/>
          <w:bCs w:val="0"/>
        </w:rPr>
      </w:pPr>
      <w:r>
        <w:rPr>
          <w:b w:val="0"/>
          <w:bCs w:val="0"/>
        </w:rPr>
        <w:t>一、项目</w:t>
      </w:r>
      <w:r>
        <w:rPr>
          <w:rFonts w:hint="eastAsia"/>
          <w:b w:val="0"/>
          <w:bCs w:val="0"/>
          <w:lang w:val="en-US" w:eastAsia="zh-CN"/>
        </w:rPr>
        <w:t>及单位</w:t>
      </w:r>
      <w:r>
        <w:rPr>
          <w:b w:val="0"/>
          <w:bCs w:val="0"/>
        </w:rPr>
        <w:t>概况</w:t>
      </w:r>
      <w:bookmarkEnd w:id="4"/>
    </w:p>
    <w:bookmarkEnd w:id="3"/>
    <w:p>
      <w:pPr>
        <w:pStyle w:val="5"/>
        <w:ind w:firstLine="602"/>
        <w:rPr>
          <w:b w:val="0"/>
          <w:bCs w:val="0"/>
        </w:rPr>
      </w:pPr>
      <w:bookmarkStart w:id="5" w:name="_Toc464047309"/>
      <w:r>
        <w:rPr>
          <w:rFonts w:hint="eastAsia"/>
          <w:b w:val="0"/>
          <w:bCs w:val="0"/>
        </w:rPr>
        <w:t>柞水县司法局是县政府组成部门，正科级单位。内设局办公室、法制股、普法与依法治理股、基层工作指导股、社区矫正管理股、行政复议股和法律服务管理股股等7个股室（三定方案批复内设办公室、法制股、社区矫正与基层管理股、普法与依法治理股、行政复议股等5个股室，因工作需要，增设为7个股室），下设县法律援助中心（副科级）、县公证处（全额事业单位，公益一类，正科级）2个二级单位，管理2个律师事务所（陕西胡军律师事务所、陕西诺灵律师事务所）和3个法律服务单位（柞水县148法律服务所、柞水县乾佑法律服务所、柞水县凤凰法律服务所）</w:t>
      </w:r>
      <w:r>
        <w:rPr>
          <w:b w:val="0"/>
          <w:bCs w:val="0"/>
        </w:rPr>
        <w:t>。</w:t>
      </w:r>
    </w:p>
    <w:bookmarkEnd w:id="5"/>
    <w:p>
      <w:pPr>
        <w:pStyle w:val="25"/>
        <w:ind w:firstLine="560"/>
      </w:pPr>
      <w:r>
        <w:t>柞水县司法局2021年实有政法编制43名（其中政法专项编制40名，事业编制3名），其中，局机关政法专项编制13名，司法所政法专项编制24名，县法律援助中心政法专项编制3名，县公证处全额事业编制3名；年末实有在职人员48人，其中，政法专项编制人员43人，全额拨款事业编制人员5人。内设局办公室、法制股、基层工作指导股、普法与依法治理股、法律服务管理股股、社区矫正管理股和监察室等7个股室，下设县法律援助中心（副科级规格）、县公证处（正科级规格）2个下属单位。</w:t>
      </w:r>
    </w:p>
    <w:p>
      <w:pPr>
        <w:pStyle w:val="25"/>
        <w:ind w:firstLine="560"/>
      </w:pPr>
      <w:r>
        <w:rPr>
          <w:rFonts w:hint="eastAsia"/>
        </w:rPr>
        <w:t>柞水县司法局</w:t>
      </w:r>
      <w:r>
        <w:t>2021年部门年初预算</w:t>
      </w:r>
      <w:r>
        <w:rPr>
          <w:rFonts w:hint="eastAsia"/>
        </w:rPr>
        <w:t>993.67万</w:t>
      </w:r>
      <w:r>
        <w:t>元</w:t>
      </w:r>
      <w:r>
        <w:rPr>
          <w:rFonts w:hint="eastAsia"/>
        </w:rPr>
        <w:t>。</w:t>
      </w:r>
      <w:r>
        <w:t>2021年部门决算数</w:t>
      </w:r>
      <w:r>
        <w:rPr>
          <w:rFonts w:hint="eastAsia"/>
        </w:rPr>
        <w:t>993.67万</w:t>
      </w:r>
      <w:r>
        <w:t>元</w:t>
      </w:r>
      <w:r>
        <w:rPr>
          <w:rFonts w:hint="eastAsia"/>
        </w:rPr>
        <w:t>，</w:t>
      </w:r>
      <w:r>
        <w:t>其中，基本支出791.51万元，主要用于保障机构正常运转、完成日常工作任务的经费支出，包括基本工资、津贴补贴等人员经费以及办公费、印刷费、水电费等，占总支出的79.66％；项目支出202.16万元，主要用于保障司法行政机关为完成特定的工作任务或事业发展目标，完成专项业务工作的经费支出，主要包括：普法宣传、人民调解、社区矫正、法律援助和设备购置等，占总支出的20.34％。</w:t>
      </w:r>
    </w:p>
    <w:p>
      <w:pPr>
        <w:pStyle w:val="25"/>
        <w:ind w:firstLine="560"/>
      </w:pPr>
      <w:r>
        <w:rPr>
          <w:rFonts w:hint="eastAsia"/>
        </w:rPr>
        <w:t>柞水县司法局深入贯彻习近平法治思想及来陕考察重要讲话精神，全面贯彻党的十九大和十九届二中、三中、四中、五中全会精神，认真落实省委全面依法治省工作会议、市委全面依法治市工作会议和全市司法行政工作会议部署要求，坚持司法行政工作与县委、县政府中心工作相结合，紧扣推动高质量发展主题，按照“1+4+1”工作思路，全面履行职责使命，助力柞水“十四五”发展、推进全面建设社会主义现代化新征程。</w:t>
      </w:r>
    </w:p>
    <w:p>
      <w:pPr>
        <w:pStyle w:val="4"/>
        <w:ind w:firstLine="643"/>
      </w:pPr>
      <w:bookmarkStart w:id="6" w:name="_Toc5600"/>
      <w:bookmarkStart w:id="7" w:name="_Toc17429"/>
      <w:r>
        <w:t>二、绩效评价</w:t>
      </w:r>
      <w:bookmarkEnd w:id="6"/>
      <w:r>
        <w:t>工作情况</w:t>
      </w:r>
      <w:bookmarkEnd w:id="7"/>
    </w:p>
    <w:p>
      <w:pPr>
        <w:pStyle w:val="25"/>
        <w:ind w:firstLine="560"/>
      </w:pPr>
      <w:r>
        <w:t>严格落实《预算法》及省、市、县绩效管理工作的有关规定，对</w:t>
      </w:r>
      <w:r>
        <w:rPr>
          <w:rFonts w:hint="eastAsia"/>
        </w:rPr>
        <w:t>柞水</w:t>
      </w:r>
      <w:r>
        <w:t>县司法局2021年整体支出情况进行绩效评价，全面分析和综合评价绩效目标的设置情况、资金使用情况、项目实施管理情况、项目绩效表现情况等，评价资金使用是否达到了预期目标、资金管理是否规范、使用是否有效，分析存在问题及原因，研究提出改进措施，增强财政支出绩效理念，提高预算绩效管理水平，科学合理编制年度预算，加强项目和资金管理，切实发挥财政资金资源配置作用，切实提高预算资金使用效率。</w:t>
      </w:r>
    </w:p>
    <w:p>
      <w:pPr>
        <w:pStyle w:val="4"/>
        <w:ind w:firstLine="643"/>
      </w:pPr>
      <w:bookmarkStart w:id="8" w:name="_Toc398133849"/>
      <w:bookmarkStart w:id="9" w:name="_Toc404933877"/>
      <w:bookmarkStart w:id="10" w:name="_Toc12791"/>
      <w:bookmarkStart w:id="11" w:name="_Toc20486"/>
      <w:bookmarkStart w:id="12" w:name="_Toc513"/>
      <w:r>
        <w:t>三、</w:t>
      </w:r>
      <w:bookmarkEnd w:id="8"/>
      <w:bookmarkEnd w:id="9"/>
      <w:r>
        <w:t>评价结论与绩效分析</w:t>
      </w:r>
      <w:bookmarkEnd w:id="10"/>
      <w:bookmarkEnd w:id="11"/>
      <w:bookmarkEnd w:id="12"/>
    </w:p>
    <w:p>
      <w:pPr>
        <w:pStyle w:val="25"/>
        <w:ind w:firstLine="560"/>
      </w:pPr>
      <w:r>
        <w:rPr>
          <w:rFonts w:hint="eastAsia"/>
        </w:rPr>
        <w:t>柞水县司法局</w:t>
      </w:r>
      <w:r>
        <w:t>2021年部门整体支出绩效评分结果为</w:t>
      </w:r>
      <w:r>
        <w:rPr>
          <w:rFonts w:hint="eastAsia"/>
        </w:rPr>
        <w:t>94.27</w:t>
      </w:r>
      <w:bookmarkStart w:id="32" w:name="_GoBack"/>
      <w:bookmarkEnd w:id="32"/>
      <w:r>
        <w:t>分，根据相关规定，其绩效评级为</w:t>
      </w:r>
      <w:r>
        <w:rPr>
          <w:rFonts w:hint="eastAsia"/>
        </w:rPr>
        <w:t>“优”</w:t>
      </w:r>
      <w:r>
        <w:t>。</w:t>
      </w:r>
    </w:p>
    <w:p>
      <w:pPr>
        <w:pStyle w:val="25"/>
        <w:ind w:firstLine="560"/>
      </w:pPr>
      <w:r>
        <w:t>具体得分详见附件一：</w:t>
      </w:r>
      <w:r>
        <w:rPr>
          <w:rFonts w:hint="eastAsia"/>
        </w:rPr>
        <w:t>柞水县司法局</w:t>
      </w:r>
      <w:r>
        <w:t>2021年部门整体支出绩效指标评分表。</w:t>
      </w:r>
    </w:p>
    <w:p>
      <w:pPr>
        <w:pStyle w:val="25"/>
        <w:ind w:firstLine="560"/>
      </w:pPr>
      <w:r>
        <w:t>投入类指标从目标设定、预算配置这个方面对项目进行考察，投入类指标分值共计15.00分，实际得分为</w:t>
      </w:r>
      <w:r>
        <w:rPr>
          <w:rFonts w:hint="eastAsia"/>
        </w:rPr>
        <w:t>12.27</w:t>
      </w:r>
      <w:r>
        <w:t>分，得分率为</w:t>
      </w:r>
      <w:r>
        <w:rPr>
          <w:rFonts w:hint="eastAsia"/>
        </w:rPr>
        <w:t>81.8</w:t>
      </w:r>
      <w:r>
        <w:t>%。各项指标的实际得分情况见表3-1。</w:t>
      </w:r>
    </w:p>
    <w:p>
      <w:pPr>
        <w:pStyle w:val="6"/>
        <w:ind w:firstLine="0" w:firstLineChars="0"/>
        <w:jc w:val="center"/>
        <w:rPr>
          <w:rFonts w:ascii="Times New Roman" w:hAnsi="Times New Roman" w:eastAsia="仿宋"/>
          <w:sz w:val="24"/>
          <w:szCs w:val="24"/>
        </w:rPr>
      </w:pPr>
      <w:r>
        <w:rPr>
          <w:rFonts w:ascii="Times New Roman" w:hAnsi="Times New Roman" w:eastAsia="仿宋"/>
          <w:sz w:val="24"/>
          <w:szCs w:val="24"/>
        </w:rPr>
        <w:t>表3-</w:t>
      </w:r>
      <w:r>
        <w:rPr>
          <w:rFonts w:ascii="Times New Roman" w:hAnsi="Times New Roman" w:eastAsia="仿宋"/>
          <w:sz w:val="24"/>
          <w:szCs w:val="24"/>
        </w:rPr>
        <w:fldChar w:fldCharType="begin"/>
      </w:r>
      <w:r>
        <w:rPr>
          <w:rFonts w:ascii="Times New Roman" w:hAnsi="Times New Roman" w:eastAsia="仿宋"/>
          <w:sz w:val="24"/>
          <w:szCs w:val="24"/>
        </w:rPr>
        <w:instrText xml:space="preserve"> SEQ 表 \* ARABIC \s 1 </w:instrText>
      </w:r>
      <w:r>
        <w:rPr>
          <w:rFonts w:ascii="Times New Roman" w:hAnsi="Times New Roman" w:eastAsia="仿宋"/>
          <w:sz w:val="24"/>
          <w:szCs w:val="24"/>
        </w:rPr>
        <w:fldChar w:fldCharType="separate"/>
      </w:r>
      <w:r>
        <w:rPr>
          <w:rFonts w:ascii="Times New Roman" w:hAnsi="Times New Roman" w:eastAsia="仿宋"/>
          <w:sz w:val="24"/>
          <w:szCs w:val="24"/>
        </w:rPr>
        <w:t>1</w:t>
      </w:r>
      <w:r>
        <w:rPr>
          <w:rFonts w:ascii="Times New Roman" w:hAnsi="Times New Roman" w:eastAsia="仿宋"/>
          <w:sz w:val="24"/>
          <w:szCs w:val="24"/>
        </w:rPr>
        <w:fldChar w:fldCharType="end"/>
      </w:r>
      <w:r>
        <w:rPr>
          <w:rFonts w:ascii="Times New Roman" w:hAnsi="Times New Roman" w:eastAsia="仿宋"/>
          <w:sz w:val="24"/>
          <w:szCs w:val="24"/>
        </w:rPr>
        <w:t>：投入类指标评分结果汇总表</w:t>
      </w:r>
    </w:p>
    <w:tbl>
      <w:tblPr>
        <w:tblStyle w:val="19"/>
        <w:tblW w:w="4999" w:type="pct"/>
        <w:jc w:val="center"/>
        <w:tblLayout w:type="autofit"/>
        <w:tblCellMar>
          <w:top w:w="0" w:type="dxa"/>
          <w:left w:w="108" w:type="dxa"/>
          <w:bottom w:w="0" w:type="dxa"/>
          <w:right w:w="108" w:type="dxa"/>
        </w:tblCellMar>
      </w:tblPr>
      <w:tblGrid>
        <w:gridCol w:w="4775"/>
        <w:gridCol w:w="2167"/>
        <w:gridCol w:w="4784"/>
        <w:gridCol w:w="1731"/>
      </w:tblGrid>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bookmarkStart w:id="13" w:name="_Toc2189"/>
            <w:r>
              <w:rPr>
                <w:b/>
                <w:bCs/>
                <w:color w:val="000000"/>
                <w:kern w:val="0"/>
                <w:sz w:val="21"/>
                <w:szCs w:val="21"/>
                <w:lang w:bidi="ar"/>
              </w:rPr>
              <w:t>指标名称</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指标权重</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业绩值</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绩效值</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1"/>
                <w:szCs w:val="21"/>
              </w:rPr>
            </w:pPr>
            <w:r>
              <w:rPr>
                <w:b/>
                <w:bCs/>
                <w:color w:val="000000"/>
                <w:kern w:val="0"/>
                <w:sz w:val="21"/>
                <w:szCs w:val="21"/>
                <w:lang w:bidi="ar"/>
              </w:rPr>
              <w:t>A1目标设定</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6</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1"/>
                <w:szCs w:val="21"/>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kern w:val="0"/>
                <w:sz w:val="21"/>
                <w:szCs w:val="21"/>
                <w:lang w:bidi="ar"/>
              </w:rPr>
              <w:t>6</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kern w:val="0"/>
                <w:sz w:val="21"/>
                <w:szCs w:val="21"/>
                <w:lang w:bidi="ar"/>
              </w:rPr>
            </w:pPr>
            <w:r>
              <w:rPr>
                <w:color w:val="000000"/>
                <w:kern w:val="0"/>
                <w:sz w:val="21"/>
                <w:szCs w:val="21"/>
                <w:lang w:bidi="ar"/>
              </w:rPr>
              <w:t>A11部门职责明确性</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2</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color w:val="000000"/>
                <w:sz w:val="21"/>
                <w:szCs w:val="21"/>
              </w:rPr>
            </w:pPr>
            <w:r>
              <w:rPr>
                <w:rFonts w:hint="eastAsia"/>
                <w:color w:val="000000"/>
                <w:sz w:val="21"/>
                <w:szCs w:val="21"/>
              </w:rPr>
              <w:t>明确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2</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333333"/>
                <w:sz w:val="21"/>
                <w:szCs w:val="21"/>
              </w:rPr>
            </w:pPr>
            <w:r>
              <w:rPr>
                <w:color w:val="333333"/>
                <w:kern w:val="0"/>
                <w:sz w:val="21"/>
                <w:szCs w:val="21"/>
                <w:lang w:bidi="ar"/>
              </w:rPr>
              <w:t>A12绩效目标合规性</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合理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333333"/>
                <w:sz w:val="21"/>
                <w:szCs w:val="21"/>
              </w:rPr>
            </w:pPr>
            <w:r>
              <w:rPr>
                <w:color w:val="333333"/>
                <w:kern w:val="0"/>
                <w:sz w:val="21"/>
                <w:szCs w:val="21"/>
                <w:lang w:bidi="ar"/>
              </w:rPr>
              <w:t>A13绩效指标合理性</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未</w:t>
            </w:r>
            <w:r>
              <w:rPr>
                <w:rFonts w:hint="eastAsia"/>
                <w:color w:val="000000"/>
                <w:kern w:val="0"/>
                <w:sz w:val="21"/>
                <w:szCs w:val="21"/>
                <w:lang w:bidi="ar"/>
              </w:rPr>
              <w:t>合理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2</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1"/>
                <w:szCs w:val="21"/>
              </w:rPr>
            </w:pPr>
            <w:r>
              <w:rPr>
                <w:b/>
                <w:bCs/>
                <w:color w:val="000000"/>
                <w:kern w:val="0"/>
                <w:sz w:val="21"/>
                <w:szCs w:val="21"/>
                <w:lang w:bidi="ar"/>
              </w:rPr>
              <w:t>A2预算配置</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9</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1"/>
                <w:szCs w:val="21"/>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sz w:val="21"/>
                <w:szCs w:val="21"/>
              </w:rPr>
              <w:t>6.27</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333333"/>
                <w:sz w:val="21"/>
                <w:szCs w:val="21"/>
              </w:rPr>
            </w:pPr>
            <w:r>
              <w:rPr>
                <w:color w:val="333333"/>
                <w:kern w:val="0"/>
                <w:sz w:val="21"/>
                <w:szCs w:val="21"/>
                <w:lang w:bidi="ar"/>
              </w:rPr>
              <w:t>A21在职人员控制率</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111.63</w:t>
            </w:r>
            <w:r>
              <w:rPr>
                <w:color w:val="000000"/>
                <w:kern w:val="0"/>
                <w:sz w:val="21"/>
                <w:szCs w:val="21"/>
                <w:lang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2</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333333"/>
                <w:sz w:val="21"/>
                <w:szCs w:val="21"/>
              </w:rPr>
            </w:pPr>
            <w:r>
              <w:rPr>
                <w:color w:val="333333"/>
                <w:kern w:val="0"/>
                <w:sz w:val="21"/>
                <w:szCs w:val="21"/>
                <w:lang w:bidi="ar"/>
              </w:rPr>
              <w:t>A22“三公经费”变动率</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3</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333333"/>
                <w:kern w:val="0"/>
                <w:sz w:val="21"/>
                <w:szCs w:val="21"/>
                <w:lang w:bidi="ar"/>
              </w:rPr>
            </w:pPr>
            <w:r>
              <w:rPr>
                <w:color w:val="333333"/>
                <w:kern w:val="0"/>
                <w:sz w:val="21"/>
                <w:szCs w:val="21"/>
                <w:lang w:bidi="ar"/>
              </w:rPr>
              <w:t>A23重点支出安排率</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3</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29.68</w:t>
            </w:r>
            <w:r>
              <w:rPr>
                <w:color w:val="000000"/>
                <w:kern w:val="0"/>
                <w:sz w:val="21"/>
                <w:szCs w:val="21"/>
                <w:lang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1.27</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合计</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15</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1"/>
                <w:szCs w:val="21"/>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sz w:val="21"/>
                <w:szCs w:val="21"/>
              </w:rPr>
              <w:t>12.27</w:t>
            </w:r>
          </w:p>
        </w:tc>
      </w:tr>
      <w:bookmarkEnd w:id="13"/>
    </w:tbl>
    <w:p>
      <w:pPr>
        <w:pStyle w:val="25"/>
        <w:ind w:firstLine="560"/>
      </w:pPr>
      <w:r>
        <w:t>过程类指标从预算执行、预算管理两个方面对项目进行考察，过程类指标分值共计38.00分，实际得分为</w:t>
      </w:r>
      <w:r>
        <w:rPr>
          <w:rFonts w:hint="eastAsia"/>
        </w:rPr>
        <w:t>38</w:t>
      </w:r>
      <w:r>
        <w:t>分，得分率为</w:t>
      </w:r>
      <w:r>
        <w:rPr>
          <w:rFonts w:hint="eastAsia"/>
        </w:rPr>
        <w:t>38</w:t>
      </w:r>
      <w:r>
        <w:t>%。各指标的实际得分情况见表3-2。</w:t>
      </w:r>
    </w:p>
    <w:p>
      <w:pPr>
        <w:pStyle w:val="6"/>
        <w:ind w:firstLine="0" w:firstLineChars="0"/>
        <w:jc w:val="center"/>
        <w:rPr>
          <w:rFonts w:ascii="Times New Roman" w:hAnsi="Times New Roman" w:eastAsia="仿宋"/>
          <w:sz w:val="24"/>
          <w:szCs w:val="24"/>
        </w:rPr>
      </w:pPr>
      <w:r>
        <w:rPr>
          <w:rFonts w:ascii="Times New Roman" w:hAnsi="Times New Roman" w:eastAsia="仿宋"/>
          <w:sz w:val="24"/>
          <w:szCs w:val="24"/>
        </w:rPr>
        <w:t>表3-</w:t>
      </w:r>
      <w:r>
        <w:rPr>
          <w:rFonts w:ascii="Times New Roman" w:hAnsi="Times New Roman" w:eastAsia="仿宋"/>
          <w:sz w:val="24"/>
          <w:szCs w:val="24"/>
        </w:rPr>
        <w:fldChar w:fldCharType="begin"/>
      </w:r>
      <w:r>
        <w:rPr>
          <w:rFonts w:ascii="Times New Roman" w:hAnsi="Times New Roman" w:eastAsia="仿宋"/>
          <w:sz w:val="24"/>
          <w:szCs w:val="24"/>
        </w:rPr>
        <w:instrText xml:space="preserve"> SEQ 表 \* ARABIC \s 1 </w:instrText>
      </w:r>
      <w:r>
        <w:rPr>
          <w:rFonts w:ascii="Times New Roman" w:hAnsi="Times New Roman" w:eastAsia="仿宋"/>
          <w:sz w:val="24"/>
          <w:szCs w:val="24"/>
        </w:rPr>
        <w:fldChar w:fldCharType="separate"/>
      </w:r>
      <w:r>
        <w:rPr>
          <w:rFonts w:ascii="Times New Roman" w:hAnsi="Times New Roman" w:eastAsia="仿宋"/>
          <w:sz w:val="24"/>
          <w:szCs w:val="24"/>
        </w:rPr>
        <w:t>2</w:t>
      </w:r>
      <w:r>
        <w:rPr>
          <w:rFonts w:ascii="Times New Roman" w:hAnsi="Times New Roman" w:eastAsia="仿宋"/>
          <w:sz w:val="24"/>
          <w:szCs w:val="24"/>
        </w:rPr>
        <w:fldChar w:fldCharType="end"/>
      </w:r>
      <w:r>
        <w:rPr>
          <w:rFonts w:ascii="Times New Roman" w:hAnsi="Times New Roman" w:eastAsia="仿宋"/>
          <w:sz w:val="24"/>
          <w:szCs w:val="24"/>
        </w:rPr>
        <w:t>：过程类指标评分结果汇总表</w:t>
      </w:r>
    </w:p>
    <w:tbl>
      <w:tblPr>
        <w:tblStyle w:val="19"/>
        <w:tblW w:w="4997" w:type="pct"/>
        <w:tblInd w:w="0" w:type="dxa"/>
        <w:tblLayout w:type="autofit"/>
        <w:tblCellMar>
          <w:top w:w="0" w:type="dxa"/>
          <w:left w:w="108" w:type="dxa"/>
          <w:bottom w:w="0" w:type="dxa"/>
          <w:right w:w="108" w:type="dxa"/>
        </w:tblCellMar>
      </w:tblPr>
      <w:tblGrid>
        <w:gridCol w:w="6385"/>
        <w:gridCol w:w="2234"/>
        <w:gridCol w:w="2657"/>
        <w:gridCol w:w="2176"/>
      </w:tblGrid>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bookmarkStart w:id="14" w:name="_Toc225"/>
            <w:r>
              <w:rPr>
                <w:b/>
                <w:bCs/>
                <w:color w:val="000000"/>
                <w:kern w:val="0"/>
                <w:sz w:val="22"/>
                <w:lang w:bidi="ar"/>
              </w:rPr>
              <w:t>指标名称</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r>
              <w:rPr>
                <w:b/>
                <w:bCs/>
                <w:color w:val="000000"/>
                <w:kern w:val="0"/>
                <w:sz w:val="22"/>
                <w:lang w:bidi="ar"/>
              </w:rPr>
              <w:t>指标权重</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r>
              <w:rPr>
                <w:b/>
                <w:bCs/>
                <w:color w:val="000000"/>
                <w:kern w:val="0"/>
                <w:sz w:val="22"/>
                <w:lang w:bidi="ar"/>
              </w:rPr>
              <w:t>业绩值</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r>
              <w:rPr>
                <w:b/>
                <w:bCs/>
                <w:color w:val="000000"/>
                <w:kern w:val="0"/>
                <w:sz w:val="22"/>
                <w:lang w:bidi="ar"/>
              </w:rPr>
              <w:t>绩效值</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2"/>
              </w:rPr>
            </w:pPr>
            <w:r>
              <w:rPr>
                <w:b/>
                <w:bCs/>
                <w:color w:val="000000"/>
                <w:kern w:val="0"/>
                <w:sz w:val="22"/>
                <w:lang w:bidi="ar"/>
              </w:rPr>
              <w:t>B1预算执行</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18</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2"/>
              <w:jc w:val="center"/>
              <w:rPr>
                <w:b/>
                <w:bCs/>
                <w:color w:val="000000"/>
                <w:sz w:val="22"/>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rFonts w:hint="eastAsia"/>
                <w:b/>
                <w:bCs/>
                <w:color w:val="333333"/>
                <w:sz w:val="21"/>
                <w:szCs w:val="21"/>
              </w:rPr>
              <w:t>18</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B11预算完成率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4</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100</w:t>
            </w:r>
            <w:r>
              <w:rPr>
                <w:color w:val="000000"/>
                <w:sz w:val="22"/>
              </w:rPr>
              <w:t>%</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4</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B12预算调整率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highlight w:val="yellow"/>
              </w:rPr>
            </w:pPr>
            <w:r>
              <w:rPr>
                <w:rFonts w:hint="eastAsia"/>
                <w:color w:val="000000"/>
                <w:sz w:val="22"/>
              </w:rPr>
              <w:t>0%</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highlight w:val="yellow"/>
              </w:rPr>
            </w:pPr>
            <w:r>
              <w:rPr>
                <w:rFonts w:hint="eastAsia"/>
                <w:color w:val="000000"/>
                <w:sz w:val="22"/>
              </w:rPr>
              <w:t>3</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kern w:val="0"/>
                <w:sz w:val="22"/>
                <w:lang w:bidi="ar"/>
              </w:rPr>
            </w:pPr>
            <w:r>
              <w:rPr>
                <w:color w:val="000000"/>
                <w:kern w:val="0"/>
                <w:sz w:val="22"/>
                <w:lang w:bidi="ar"/>
              </w:rPr>
              <w:t>B13结转结余率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kern w:val="0"/>
                <w:sz w:val="21"/>
                <w:szCs w:val="21"/>
                <w:lang w:bidi="ar"/>
              </w:rPr>
            </w:pPr>
            <w:r>
              <w:rPr>
                <w:color w:val="333333"/>
                <w:kern w:val="0"/>
                <w:sz w:val="21"/>
                <w:szCs w:val="21"/>
                <w:lang w:bidi="ar"/>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2"/>
                <w:lang w:bidi="ar"/>
              </w:rPr>
            </w:pPr>
            <w:r>
              <w:rPr>
                <w:rFonts w:hint="eastAsia"/>
                <w:color w:val="000000"/>
                <w:kern w:val="0"/>
                <w:sz w:val="22"/>
                <w:lang w:bidi="ar"/>
              </w:rPr>
              <w:t>0</w:t>
            </w:r>
            <w:r>
              <w:rPr>
                <w:color w:val="000000"/>
                <w:kern w:val="0"/>
                <w:sz w:val="22"/>
                <w:lang w:bidi="ar"/>
              </w:rPr>
              <w:t>%</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3</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kern w:val="0"/>
                <w:sz w:val="22"/>
                <w:highlight w:val="yellow"/>
                <w:lang w:bidi="ar"/>
              </w:rPr>
            </w:pPr>
            <w:r>
              <w:rPr>
                <w:color w:val="000000"/>
                <w:kern w:val="0"/>
                <w:sz w:val="22"/>
                <w:lang w:bidi="ar"/>
              </w:rPr>
              <w:t>B14结转结余变动率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kern w:val="0"/>
                <w:sz w:val="21"/>
                <w:szCs w:val="21"/>
                <w:lang w:bidi="ar"/>
              </w:rPr>
            </w:pPr>
            <w:r>
              <w:rPr>
                <w:color w:val="333333"/>
                <w:kern w:val="0"/>
                <w:sz w:val="21"/>
                <w:szCs w:val="21"/>
                <w:lang w:bidi="ar"/>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2"/>
                <w:lang w:bidi="ar"/>
              </w:rPr>
            </w:pPr>
            <w:r>
              <w:rPr>
                <w:rFonts w:hint="eastAsia"/>
                <w:color w:val="000000"/>
                <w:kern w:val="0"/>
                <w:sz w:val="22"/>
                <w:lang w:bidi="ar"/>
              </w:rPr>
              <w:t>0%</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2</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highlight w:val="yellow"/>
              </w:rPr>
            </w:pPr>
            <w:r>
              <w:rPr>
                <w:color w:val="000000"/>
                <w:kern w:val="0"/>
                <w:sz w:val="22"/>
                <w:lang w:bidi="ar"/>
              </w:rPr>
              <w:t>B15公用经费控制率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100%</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2</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B16“三公经费”控制率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kern w:val="0"/>
                <w:sz w:val="22"/>
                <w:lang w:bidi="ar"/>
              </w:rPr>
              <w:t>95.91%</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2</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B17政府采购执行率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100%</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2</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2"/>
              </w:rPr>
            </w:pPr>
            <w:r>
              <w:rPr>
                <w:b/>
                <w:bCs/>
                <w:color w:val="000000"/>
                <w:kern w:val="0"/>
                <w:sz w:val="22"/>
                <w:lang w:bidi="ar"/>
              </w:rPr>
              <w:t>B2预算管理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12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2"/>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rFonts w:hint="eastAsia"/>
                <w:b/>
                <w:bCs/>
                <w:color w:val="333333"/>
                <w:sz w:val="21"/>
                <w:szCs w:val="21"/>
              </w:rPr>
              <w:t>12</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B21管理制度健全性</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kern w:val="0"/>
                <w:sz w:val="22"/>
                <w:lang w:bidi="ar"/>
              </w:rPr>
              <w:t>健全</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3</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B22资金使用合规性</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5</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kern w:val="0"/>
                <w:sz w:val="22"/>
                <w:lang w:bidi="ar"/>
              </w:rPr>
              <w:t>合规</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5</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B23预决算信息公开性</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4</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已公开</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4</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2"/>
              </w:rPr>
            </w:pPr>
            <w:r>
              <w:rPr>
                <w:b/>
                <w:bCs/>
                <w:color w:val="000000"/>
                <w:kern w:val="0"/>
                <w:sz w:val="22"/>
                <w:lang w:bidi="ar"/>
              </w:rPr>
              <w:t>B3资产管理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8</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2"/>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r>
              <w:rPr>
                <w:b/>
                <w:bCs/>
                <w:color w:val="000000"/>
                <w:sz w:val="22"/>
              </w:rPr>
              <w:t>8</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B31管理制度健全性</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kern w:val="0"/>
                <w:sz w:val="22"/>
                <w:lang w:bidi="ar"/>
              </w:rPr>
              <w:t>健全</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3</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B32资产管理完全性</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kern w:val="0"/>
                <w:sz w:val="22"/>
                <w:lang w:bidi="ar"/>
              </w:rPr>
              <w:t>完全</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3</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B33固定资产利用率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kern w:val="0"/>
                <w:sz w:val="22"/>
                <w:lang w:bidi="ar"/>
              </w:rPr>
              <w:t>100%</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2</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合计</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r>
              <w:rPr>
                <w:b/>
                <w:bCs/>
                <w:color w:val="000000"/>
                <w:kern w:val="0"/>
                <w:sz w:val="22"/>
                <w:lang w:bidi="ar"/>
              </w:rPr>
              <w:t>38</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color w:val="000000"/>
                <w:sz w:val="22"/>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r>
              <w:rPr>
                <w:rFonts w:hint="eastAsia"/>
                <w:b/>
                <w:bCs/>
                <w:color w:val="000000"/>
                <w:sz w:val="22"/>
              </w:rPr>
              <w:t>38</w:t>
            </w:r>
          </w:p>
        </w:tc>
      </w:tr>
    </w:tbl>
    <w:p>
      <w:pPr>
        <w:pStyle w:val="25"/>
        <w:ind w:firstLine="560"/>
      </w:pPr>
      <w:r>
        <w:t>预算管理：</w:t>
      </w:r>
      <w:bookmarkStart w:id="15" w:name="_Hlk104991772"/>
      <w:r>
        <w:rPr>
          <w:rFonts w:hint="eastAsia"/>
        </w:rPr>
        <w:t>柞水</w:t>
      </w:r>
      <w:r>
        <w:rPr>
          <w:rFonts w:hint="eastAsia" w:ascii="仿宋_GB2312" w:hAnsi="仿宋_GB2312" w:eastAsia="仿宋_GB2312" w:cs="仿宋_GB2312"/>
        </w:rPr>
        <w:t>县司法局为加强预算管理、规范财务行为制定了符合司法行政实际、合法有效的《财务管理制度》《财务核算制度》等制度，以及办公用品采购管理制度、差旅费报销制度、固定资产管理制度、财务通报制度等一系列管理制度。</w:t>
      </w:r>
    </w:p>
    <w:bookmarkEnd w:id="15"/>
    <w:p>
      <w:pPr>
        <w:pStyle w:val="25"/>
        <w:ind w:firstLine="560"/>
      </w:pPr>
      <w:r>
        <w:t>资金使用合规性：通过核查财务资料，</w:t>
      </w:r>
      <w:r>
        <w:rPr>
          <w:rFonts w:hint="eastAsia"/>
        </w:rPr>
        <w:t>柞水县司法局</w:t>
      </w:r>
      <w:r>
        <w:t>在资金使用上支出符合国家财经法规和财务管理制度规定以及有关专项资金管理办法的规定；资金拨付有完整的审批程序和手续；资金的支出符合部门预算批复的用途；资金的使用无截留、挤占、挪用、虚列支出等情况。</w:t>
      </w:r>
    </w:p>
    <w:p>
      <w:pPr>
        <w:pStyle w:val="25"/>
        <w:ind w:firstLine="560"/>
      </w:pPr>
      <w:r>
        <w:t>通过在</w:t>
      </w:r>
      <w:r>
        <w:rPr>
          <w:rFonts w:hint="eastAsia"/>
        </w:rPr>
        <w:t>柞水</w:t>
      </w:r>
      <w:r>
        <w:t>县政府信息公开网站查询</w:t>
      </w:r>
      <w:r>
        <w:rPr>
          <w:rFonts w:hint="eastAsia"/>
        </w:rPr>
        <w:t>，</w:t>
      </w:r>
      <w:r>
        <w:rPr>
          <w:rFonts w:hint="eastAsia"/>
          <w:color w:val="0000FF"/>
        </w:rPr>
        <w:t>已在政府网站公开。</w:t>
      </w:r>
    </w:p>
    <w:p>
      <w:pPr>
        <w:pStyle w:val="25"/>
        <w:ind w:firstLine="560"/>
      </w:pPr>
      <w:r>
        <w:rPr>
          <w:rFonts w:hint="eastAsia"/>
        </w:rPr>
        <w:t>决算：</w:t>
      </w:r>
      <w:r>
        <w:fldChar w:fldCharType="begin"/>
      </w:r>
      <w:r>
        <w:instrText xml:space="preserve"> HYPERLINK "http://www.snzs.gov.cn/html/zwgk/czysjs/124043.html" </w:instrText>
      </w:r>
      <w:r>
        <w:fldChar w:fldCharType="separate"/>
      </w:r>
      <w:r>
        <w:rPr>
          <w:rStyle w:val="22"/>
          <w:rFonts w:hint="eastAsia"/>
        </w:rPr>
        <w:t>http://www.snzs.gov.cn/html/zwgk/czysjs/124043.html</w:t>
      </w:r>
      <w:r>
        <w:rPr>
          <w:rStyle w:val="22"/>
          <w:rFonts w:hint="eastAsia"/>
        </w:rPr>
        <w:fldChar w:fldCharType="end"/>
      </w:r>
    </w:p>
    <w:p>
      <w:pPr>
        <w:ind w:firstLine="560"/>
      </w:pPr>
      <w:r>
        <w:rPr>
          <w:rFonts w:hint="eastAsia"/>
        </w:rPr>
        <w:t>预算：http://www.snzs.gov.cn/html/zwgk/czysjs/113179.html</w:t>
      </w:r>
    </w:p>
    <w:p>
      <w:pPr>
        <w:pStyle w:val="25"/>
        <w:ind w:firstLine="560"/>
      </w:pPr>
      <w:r>
        <w:t>资产管理：</w:t>
      </w:r>
      <w:r>
        <w:rPr>
          <w:rFonts w:hint="eastAsia"/>
        </w:rPr>
        <w:t>柞水县司法局</w:t>
      </w:r>
      <w:r>
        <w:t>为加强固定资产制度化、规范化管理，预防资产流失依据《行政单位国有资产管理暂行办法》并结合单位实际情况，制定出《</w:t>
      </w:r>
      <w:r>
        <w:rPr>
          <w:rFonts w:hint="eastAsia"/>
        </w:rPr>
        <w:t>柞水县司法局</w:t>
      </w:r>
      <w:r>
        <w:t>固定资产管理办法》。该办法规定财务室负责固定资产的财（账）务管理，资产使用部门必须加强对固定资产的有效管理，合理使用，确保资产的真实和完整，努力提高资产使用的效益，降低损失，充分发挥其在工作中的保障作用。资产管理部门和资产使用部门分级负责，明确分工，密切协作，实时对账做到账实相符，账物相符。遵循“谁主管、谁负责”，“谁使用、谁负责”，“谁损坏、谁负责”的原则，实行统一领导、专人负责，实现固定资产动态化管理。</w:t>
      </w:r>
    </w:p>
    <w:bookmarkEnd w:id="14"/>
    <w:p>
      <w:pPr>
        <w:ind w:firstLine="560"/>
        <w:rPr>
          <w:szCs w:val="28"/>
        </w:rPr>
      </w:pPr>
      <w:r>
        <w:rPr>
          <w:szCs w:val="28"/>
        </w:rPr>
        <w:t>产出指标从职责履行、效益这两个方面对项目进行考察，产出类指标分值共计47.00分，实际得分为4</w:t>
      </w:r>
      <w:r>
        <w:rPr>
          <w:rFonts w:hint="eastAsia"/>
          <w:szCs w:val="28"/>
        </w:rPr>
        <w:t>5.00</w:t>
      </w:r>
      <w:r>
        <w:rPr>
          <w:szCs w:val="28"/>
        </w:rPr>
        <w:t>分，得分率为9</w:t>
      </w:r>
      <w:r>
        <w:rPr>
          <w:rFonts w:hint="eastAsia"/>
          <w:szCs w:val="28"/>
        </w:rPr>
        <w:t>5.74</w:t>
      </w:r>
      <w:r>
        <w:rPr>
          <w:szCs w:val="28"/>
        </w:rPr>
        <w:t>%。各指标的实际得分情况见表3-3。</w:t>
      </w:r>
    </w:p>
    <w:p>
      <w:pPr>
        <w:pStyle w:val="6"/>
        <w:ind w:firstLine="480"/>
        <w:jc w:val="center"/>
        <w:rPr>
          <w:rFonts w:ascii="Times New Roman" w:hAnsi="Times New Roman" w:eastAsia="仿宋"/>
          <w:sz w:val="24"/>
          <w:szCs w:val="24"/>
        </w:rPr>
      </w:pPr>
      <w:r>
        <w:rPr>
          <w:rFonts w:ascii="Times New Roman" w:hAnsi="Times New Roman" w:eastAsia="仿宋"/>
          <w:sz w:val="24"/>
          <w:szCs w:val="24"/>
        </w:rPr>
        <w:t>表3-</w:t>
      </w:r>
      <w:r>
        <w:rPr>
          <w:rFonts w:ascii="Times New Roman" w:hAnsi="Times New Roman" w:eastAsia="仿宋"/>
          <w:sz w:val="24"/>
          <w:szCs w:val="24"/>
        </w:rPr>
        <w:fldChar w:fldCharType="begin"/>
      </w:r>
      <w:r>
        <w:rPr>
          <w:rFonts w:ascii="Times New Roman" w:hAnsi="Times New Roman" w:eastAsia="仿宋"/>
          <w:sz w:val="24"/>
          <w:szCs w:val="24"/>
        </w:rPr>
        <w:instrText xml:space="preserve"> SEQ 表 \* ARABIC \s 1 </w:instrText>
      </w:r>
      <w:r>
        <w:rPr>
          <w:rFonts w:ascii="Times New Roman" w:hAnsi="Times New Roman" w:eastAsia="仿宋"/>
          <w:sz w:val="24"/>
          <w:szCs w:val="24"/>
        </w:rPr>
        <w:fldChar w:fldCharType="separate"/>
      </w:r>
      <w:r>
        <w:rPr>
          <w:rFonts w:ascii="Times New Roman" w:hAnsi="Times New Roman" w:eastAsia="仿宋"/>
          <w:sz w:val="24"/>
          <w:szCs w:val="24"/>
        </w:rPr>
        <w:t>3</w:t>
      </w:r>
      <w:r>
        <w:rPr>
          <w:rFonts w:ascii="Times New Roman" w:hAnsi="Times New Roman" w:eastAsia="仿宋"/>
          <w:sz w:val="24"/>
          <w:szCs w:val="24"/>
        </w:rPr>
        <w:fldChar w:fldCharType="end"/>
      </w:r>
      <w:r>
        <w:rPr>
          <w:rFonts w:ascii="Times New Roman" w:hAnsi="Times New Roman" w:eastAsia="仿宋"/>
          <w:sz w:val="24"/>
          <w:szCs w:val="24"/>
        </w:rPr>
        <w:t>：产出及效益类指标评分结果汇总表</w:t>
      </w:r>
    </w:p>
    <w:tbl>
      <w:tblPr>
        <w:tblStyle w:val="19"/>
        <w:tblW w:w="4997" w:type="pct"/>
        <w:tblInd w:w="0" w:type="dxa"/>
        <w:tblLayout w:type="autofit"/>
        <w:tblCellMar>
          <w:top w:w="0" w:type="dxa"/>
          <w:left w:w="108" w:type="dxa"/>
          <w:bottom w:w="0" w:type="dxa"/>
          <w:right w:w="108" w:type="dxa"/>
        </w:tblCellMar>
      </w:tblPr>
      <w:tblGrid>
        <w:gridCol w:w="7780"/>
        <w:gridCol w:w="1792"/>
        <w:gridCol w:w="2462"/>
        <w:gridCol w:w="1418"/>
      </w:tblGrid>
      <w:tr>
        <w:tblPrEx>
          <w:tblCellMar>
            <w:top w:w="0" w:type="dxa"/>
            <w:left w:w="108" w:type="dxa"/>
            <w:bottom w:w="0" w:type="dxa"/>
            <w:right w:w="108" w:type="dxa"/>
          </w:tblCellMar>
        </w:tblPrEx>
        <w:trPr>
          <w:trHeight w:val="397"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bookmarkStart w:id="16" w:name="_Toc10278"/>
            <w:r>
              <w:rPr>
                <w:b/>
                <w:bCs/>
                <w:color w:val="000000"/>
                <w:kern w:val="0"/>
                <w:sz w:val="21"/>
                <w:szCs w:val="21"/>
                <w:lang w:bidi="ar"/>
              </w:rPr>
              <w:t>指标名称</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指标权重</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业绩值</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绩效值</w:t>
            </w:r>
          </w:p>
        </w:tc>
      </w:tr>
      <w:tr>
        <w:tblPrEx>
          <w:tblCellMar>
            <w:top w:w="0" w:type="dxa"/>
            <w:left w:w="108" w:type="dxa"/>
            <w:bottom w:w="0" w:type="dxa"/>
            <w:right w:w="108" w:type="dxa"/>
          </w:tblCellMar>
        </w:tblPrEx>
        <w:trPr>
          <w:trHeight w:val="397"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1"/>
                <w:szCs w:val="21"/>
              </w:rPr>
            </w:pPr>
            <w:r>
              <w:rPr>
                <w:b/>
                <w:bCs/>
                <w:color w:val="000000"/>
                <w:kern w:val="0"/>
                <w:sz w:val="21"/>
                <w:szCs w:val="21"/>
                <w:lang w:bidi="ar"/>
              </w:rPr>
              <w:t>C1产出</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rFonts w:hint="eastAsia"/>
                <w:b/>
                <w:bCs/>
                <w:color w:val="333333"/>
                <w:kern w:val="0"/>
                <w:sz w:val="21"/>
                <w:szCs w:val="21"/>
                <w:lang w:bidi="ar"/>
              </w:rPr>
              <w:t>25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1"/>
                <w:szCs w:val="21"/>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rFonts w:hint="eastAsia"/>
                <w:b/>
                <w:bCs/>
                <w:color w:val="333333"/>
                <w:sz w:val="21"/>
                <w:szCs w:val="21"/>
              </w:rPr>
              <w:t>25</w:t>
            </w:r>
          </w:p>
        </w:tc>
      </w:tr>
      <w:tr>
        <w:tblPrEx>
          <w:tblCellMar>
            <w:top w:w="0" w:type="dxa"/>
            <w:left w:w="108" w:type="dxa"/>
            <w:bottom w:w="0" w:type="dxa"/>
            <w:right w:w="108" w:type="dxa"/>
          </w:tblCellMar>
        </w:tblPrEx>
        <w:trPr>
          <w:trHeight w:val="397"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sz w:val="21"/>
                <w:szCs w:val="21"/>
              </w:rPr>
            </w:pPr>
            <w:r>
              <w:rPr>
                <w:color w:val="000000"/>
                <w:kern w:val="0"/>
                <w:sz w:val="21"/>
                <w:szCs w:val="21"/>
                <w:lang w:bidi="ar"/>
              </w:rPr>
              <w:t>C11法治建设</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rFonts w:hint="eastAsia"/>
                <w:color w:val="333333"/>
                <w:kern w:val="0"/>
                <w:sz w:val="21"/>
                <w:szCs w:val="21"/>
                <w:lang w:bidi="ar"/>
              </w:rPr>
              <w:t>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取得新成效</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5</w:t>
            </w:r>
          </w:p>
        </w:tc>
      </w:tr>
      <w:tr>
        <w:tblPrEx>
          <w:tblCellMar>
            <w:top w:w="0" w:type="dxa"/>
            <w:left w:w="108" w:type="dxa"/>
            <w:bottom w:w="0" w:type="dxa"/>
            <w:right w:w="108" w:type="dxa"/>
          </w:tblCellMar>
        </w:tblPrEx>
        <w:trPr>
          <w:trHeight w:val="397"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sz w:val="21"/>
                <w:szCs w:val="21"/>
              </w:rPr>
            </w:pPr>
            <w:r>
              <w:rPr>
                <w:color w:val="000000"/>
                <w:kern w:val="0"/>
                <w:sz w:val="21"/>
                <w:szCs w:val="21"/>
                <w:lang w:bidi="ar"/>
              </w:rPr>
              <w:t>C12行政执法</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rFonts w:hint="eastAsia"/>
                <w:color w:val="333333"/>
                <w:kern w:val="0"/>
                <w:sz w:val="21"/>
                <w:szCs w:val="21"/>
                <w:lang w:bidi="ar"/>
              </w:rPr>
              <w:t>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取得新进展</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5</w:t>
            </w:r>
          </w:p>
        </w:tc>
      </w:tr>
      <w:tr>
        <w:tblPrEx>
          <w:tblCellMar>
            <w:top w:w="0" w:type="dxa"/>
            <w:left w:w="108" w:type="dxa"/>
            <w:bottom w:w="0" w:type="dxa"/>
            <w:right w:w="108" w:type="dxa"/>
          </w:tblCellMar>
        </w:tblPrEx>
        <w:trPr>
          <w:trHeight w:val="397"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sz w:val="21"/>
                <w:szCs w:val="21"/>
              </w:rPr>
            </w:pPr>
            <w:r>
              <w:rPr>
                <w:color w:val="000000"/>
                <w:kern w:val="0"/>
                <w:sz w:val="21"/>
                <w:szCs w:val="21"/>
                <w:lang w:bidi="ar"/>
              </w:rPr>
              <w:t>C13刑事执行</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rFonts w:hint="eastAsia"/>
                <w:color w:val="333333"/>
                <w:kern w:val="0"/>
                <w:sz w:val="21"/>
                <w:szCs w:val="21"/>
                <w:lang w:bidi="ar"/>
              </w:rPr>
              <w:t>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取得新成果</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5</w:t>
            </w:r>
          </w:p>
        </w:tc>
      </w:tr>
      <w:tr>
        <w:tblPrEx>
          <w:tblCellMar>
            <w:top w:w="0" w:type="dxa"/>
            <w:left w:w="108" w:type="dxa"/>
            <w:bottom w:w="0" w:type="dxa"/>
            <w:right w:w="108" w:type="dxa"/>
          </w:tblCellMar>
        </w:tblPrEx>
        <w:trPr>
          <w:trHeight w:val="397"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kern w:val="0"/>
                <w:sz w:val="21"/>
                <w:szCs w:val="21"/>
                <w:lang w:bidi="ar"/>
              </w:rPr>
            </w:pPr>
            <w:r>
              <w:rPr>
                <w:rFonts w:hint="eastAsia"/>
                <w:color w:val="000000"/>
                <w:kern w:val="0"/>
                <w:sz w:val="21"/>
                <w:szCs w:val="21"/>
                <w:lang w:bidi="ar"/>
              </w:rPr>
              <w:t>C14法律服务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kern w:val="0"/>
                <w:sz w:val="21"/>
                <w:szCs w:val="21"/>
                <w:lang w:bidi="ar"/>
              </w:rPr>
            </w:pPr>
            <w:r>
              <w:rPr>
                <w:rFonts w:hint="eastAsia"/>
                <w:color w:val="333333"/>
                <w:kern w:val="0"/>
                <w:sz w:val="21"/>
                <w:szCs w:val="21"/>
                <w:lang w:bidi="ar"/>
              </w:rPr>
              <w:t>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展现新作为</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5</w:t>
            </w:r>
          </w:p>
        </w:tc>
      </w:tr>
      <w:tr>
        <w:tblPrEx>
          <w:tblCellMar>
            <w:top w:w="0" w:type="dxa"/>
            <w:left w:w="108" w:type="dxa"/>
            <w:bottom w:w="0" w:type="dxa"/>
            <w:right w:w="108" w:type="dxa"/>
          </w:tblCellMar>
        </w:tblPrEx>
        <w:trPr>
          <w:trHeight w:val="397"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kern w:val="0"/>
                <w:sz w:val="21"/>
                <w:szCs w:val="21"/>
                <w:lang w:bidi="ar"/>
              </w:rPr>
            </w:pPr>
            <w:r>
              <w:rPr>
                <w:rFonts w:hint="eastAsia"/>
                <w:color w:val="000000"/>
                <w:kern w:val="0"/>
                <w:sz w:val="21"/>
                <w:szCs w:val="21"/>
                <w:lang w:bidi="ar"/>
              </w:rPr>
              <w:t>C15基层基础</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kern w:val="0"/>
                <w:sz w:val="21"/>
                <w:szCs w:val="21"/>
                <w:lang w:bidi="ar"/>
              </w:rPr>
            </w:pPr>
            <w:r>
              <w:rPr>
                <w:rFonts w:hint="eastAsia"/>
                <w:color w:val="333333"/>
                <w:kern w:val="0"/>
                <w:sz w:val="21"/>
                <w:szCs w:val="21"/>
                <w:lang w:bidi="ar"/>
              </w:rPr>
              <w:t>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再上新台阶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5</w:t>
            </w:r>
          </w:p>
        </w:tc>
      </w:tr>
      <w:tr>
        <w:tblPrEx>
          <w:tblCellMar>
            <w:top w:w="0" w:type="dxa"/>
            <w:left w:w="108" w:type="dxa"/>
            <w:bottom w:w="0" w:type="dxa"/>
            <w:right w:w="108" w:type="dxa"/>
          </w:tblCellMar>
        </w:tblPrEx>
        <w:trPr>
          <w:trHeight w:val="397"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1"/>
                <w:szCs w:val="21"/>
              </w:rPr>
            </w:pPr>
            <w:r>
              <w:rPr>
                <w:b/>
                <w:bCs/>
                <w:color w:val="000000"/>
                <w:kern w:val="0"/>
                <w:sz w:val="21"/>
                <w:szCs w:val="21"/>
                <w:lang w:bidi="ar"/>
              </w:rPr>
              <w:t>C2效益</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kern w:val="0"/>
                <w:sz w:val="21"/>
                <w:szCs w:val="21"/>
                <w:lang w:bidi="ar"/>
              </w:rPr>
              <w:t>22</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1"/>
                <w:szCs w:val="21"/>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sz w:val="21"/>
                <w:szCs w:val="21"/>
              </w:rPr>
              <w:t>20</w:t>
            </w:r>
          </w:p>
        </w:tc>
      </w:tr>
      <w:tr>
        <w:tblPrEx>
          <w:tblCellMar>
            <w:top w:w="0" w:type="dxa"/>
            <w:left w:w="108" w:type="dxa"/>
            <w:bottom w:w="0" w:type="dxa"/>
            <w:right w:w="108" w:type="dxa"/>
          </w:tblCellMar>
        </w:tblPrEx>
        <w:trPr>
          <w:trHeight w:val="397"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sz w:val="21"/>
                <w:szCs w:val="21"/>
              </w:rPr>
            </w:pPr>
            <w:r>
              <w:rPr>
                <w:color w:val="000000"/>
                <w:kern w:val="0"/>
                <w:sz w:val="21"/>
                <w:szCs w:val="21"/>
                <w:lang w:bidi="ar"/>
              </w:rPr>
              <w:t>C21推动全面依法治县和司法行政</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12</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全面推动</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10</w:t>
            </w:r>
          </w:p>
        </w:tc>
      </w:tr>
      <w:tr>
        <w:tblPrEx>
          <w:tblCellMar>
            <w:top w:w="0" w:type="dxa"/>
            <w:left w:w="108" w:type="dxa"/>
            <w:bottom w:w="0" w:type="dxa"/>
            <w:right w:w="108" w:type="dxa"/>
          </w:tblCellMar>
        </w:tblPrEx>
        <w:trPr>
          <w:trHeight w:val="397"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kern w:val="0"/>
                <w:sz w:val="21"/>
                <w:szCs w:val="21"/>
                <w:lang w:bidi="ar"/>
              </w:rPr>
            </w:pPr>
            <w:r>
              <w:rPr>
                <w:color w:val="000000"/>
                <w:kern w:val="0"/>
                <w:sz w:val="21"/>
                <w:szCs w:val="21"/>
                <w:lang w:bidi="ar"/>
              </w:rPr>
              <w:t>C22</w:t>
            </w:r>
            <w:r>
              <w:rPr>
                <w:rFonts w:hint="eastAsia"/>
                <w:color w:val="000000"/>
                <w:kern w:val="0"/>
                <w:sz w:val="21"/>
                <w:szCs w:val="21"/>
                <w:lang w:bidi="ar"/>
              </w:rPr>
              <w:t>社会公众满意度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10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92%</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10</w:t>
            </w:r>
          </w:p>
        </w:tc>
      </w:tr>
      <w:tr>
        <w:tblPrEx>
          <w:tblCellMar>
            <w:top w:w="0" w:type="dxa"/>
            <w:left w:w="108" w:type="dxa"/>
            <w:bottom w:w="0" w:type="dxa"/>
            <w:right w:w="108" w:type="dxa"/>
          </w:tblCellMar>
        </w:tblPrEx>
        <w:trPr>
          <w:trHeight w:val="397"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合计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sz w:val="21"/>
                <w:szCs w:val="21"/>
              </w:rPr>
              <w:t>47</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color w:val="000000"/>
                <w:sz w:val="21"/>
                <w:szCs w:val="21"/>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sz w:val="21"/>
                <w:szCs w:val="21"/>
              </w:rPr>
              <w:t>45</w:t>
            </w:r>
          </w:p>
        </w:tc>
      </w:tr>
    </w:tbl>
    <w:p>
      <w:pPr>
        <w:pStyle w:val="18"/>
        <w:spacing w:line="360" w:lineRule="auto"/>
        <w:ind w:left="0" w:leftChars="0" w:firstLine="560"/>
        <w:rPr>
          <w:rFonts w:hAnsi="Times New Roman" w:eastAsia="仿宋"/>
          <w:szCs w:val="22"/>
        </w:rPr>
      </w:pPr>
    </w:p>
    <w:p>
      <w:pPr>
        <w:pStyle w:val="4"/>
        <w:ind w:firstLine="643"/>
      </w:pPr>
      <w:bookmarkStart w:id="17" w:name="_Toc14951"/>
      <w:r>
        <w:t>四、</w:t>
      </w:r>
      <w:bookmarkEnd w:id="16"/>
      <w:bookmarkStart w:id="18" w:name="_Toc14914"/>
      <w:bookmarkStart w:id="19" w:name="_Toc2035"/>
      <w:bookmarkStart w:id="20" w:name="_Toc17474125"/>
      <w:r>
        <w:rPr>
          <w:rFonts w:hint="eastAsia"/>
        </w:rPr>
        <w:t>主要经验及做法</w:t>
      </w:r>
      <w:bookmarkEnd w:id="17"/>
    </w:p>
    <w:p>
      <w:pPr>
        <w:pStyle w:val="18"/>
        <w:spacing w:line="360" w:lineRule="auto"/>
        <w:ind w:left="0" w:leftChars="0" w:firstLine="560"/>
        <w:rPr>
          <w:rFonts w:hAnsi="Times New Roman" w:eastAsia="仿宋"/>
          <w:szCs w:val="22"/>
        </w:rPr>
      </w:pPr>
      <w:r>
        <w:rPr>
          <w:rFonts w:hint="eastAsia" w:hAnsi="Times New Roman" w:eastAsia="仿宋"/>
          <w:szCs w:val="22"/>
        </w:rPr>
        <w:t>1.认真做好预算编制。认真学习预算编制文件精神，对年度部门预算编制的依据、标准、方法和内容等进行了全面梳理，把握编制口径变化情况，确保准确掌握编制各项要求。主动与财政相关股室沟通对接，完成各个项目支出内容细化、资金测算依据编制、项目绩效指标设定等工作，确保各项支出预算科学、合理、严谨。</w:t>
      </w:r>
    </w:p>
    <w:p>
      <w:pPr>
        <w:pStyle w:val="18"/>
        <w:spacing w:line="360" w:lineRule="auto"/>
        <w:ind w:left="0" w:leftChars="0" w:firstLine="560"/>
        <w:rPr>
          <w:rFonts w:hAnsi="Times New Roman" w:eastAsia="仿宋"/>
          <w:szCs w:val="22"/>
        </w:rPr>
      </w:pPr>
      <w:r>
        <w:rPr>
          <w:rFonts w:hint="eastAsia" w:hAnsi="Times New Roman" w:eastAsia="仿宋"/>
          <w:szCs w:val="22"/>
        </w:rPr>
        <w:t>2.建立健全财务制度。修订完善了《财务管理制度》《财务核算制度》《固定资产管理制度》《办公用品采购管理制度》《警车管理制度》《差旅费报销管理制度》《公务接待管理制度》《装备资产管理督查巡察制度》等制度，健全了机关财务管理、资产管理等内控机制，进一步加强了预算管理、规范财务行为。</w:t>
      </w:r>
    </w:p>
    <w:p>
      <w:pPr>
        <w:pStyle w:val="4"/>
        <w:ind w:firstLine="643"/>
      </w:pPr>
      <w:bookmarkStart w:id="21" w:name="_Toc26971"/>
      <w:r>
        <w:rPr>
          <w:rFonts w:hint="eastAsia"/>
        </w:rPr>
        <w:t>五、</w:t>
      </w:r>
      <w:r>
        <w:t>存在的问题和建议</w:t>
      </w:r>
      <w:bookmarkEnd w:id="18"/>
      <w:bookmarkEnd w:id="19"/>
      <w:bookmarkEnd w:id="20"/>
      <w:bookmarkEnd w:id="21"/>
    </w:p>
    <w:p>
      <w:pPr>
        <w:pStyle w:val="5"/>
        <w:ind w:firstLine="602"/>
      </w:pPr>
      <w:bookmarkStart w:id="22" w:name="_Toc24760"/>
      <w:bookmarkStart w:id="23" w:name="_Toc20398"/>
      <w:r>
        <w:t>（一）存在的问题</w:t>
      </w:r>
      <w:bookmarkEnd w:id="22"/>
      <w:bookmarkEnd w:id="23"/>
    </w:p>
    <w:p>
      <w:pPr>
        <w:pStyle w:val="25"/>
        <w:ind w:firstLine="560"/>
      </w:pPr>
      <w:r>
        <w:rPr>
          <w:rFonts w:hint="eastAsia"/>
        </w:rPr>
        <w:t>1.</w:t>
      </w:r>
      <w:r>
        <w:t>绩效目标考核体系不完善</w:t>
      </w:r>
    </w:p>
    <w:p>
      <w:pPr>
        <w:pStyle w:val="25"/>
        <w:ind w:firstLine="560"/>
      </w:pPr>
      <w:r>
        <w:rPr>
          <w:rFonts w:hint="eastAsia"/>
        </w:rPr>
        <w:t>柞水县司法局</w:t>
      </w:r>
      <w:r>
        <w:t>在2021年初预算编制中，未设定部门整体绩效目标，未将部门整体的绩效目标细化分解为具体的工作任务，绩效目标也未通过清晰、可衡量的指标值予以体现，导致绩效目标考核体系不完善。</w:t>
      </w:r>
    </w:p>
    <w:p>
      <w:pPr>
        <w:pStyle w:val="25"/>
        <w:ind w:firstLine="560"/>
      </w:pPr>
      <w:r>
        <w:rPr>
          <w:rFonts w:hint="eastAsia"/>
        </w:rPr>
        <w:t>2.在职人员控制率较高，实有人员超编</w:t>
      </w:r>
    </w:p>
    <w:p>
      <w:pPr>
        <w:ind w:firstLine="560"/>
      </w:pPr>
      <w:r>
        <w:t>根据部门三定方案，</w:t>
      </w:r>
      <w:r>
        <w:rPr>
          <w:rFonts w:hint="eastAsia"/>
        </w:rPr>
        <w:t>柞水县司法局2021年</w:t>
      </w:r>
      <w:r>
        <w:t>机构编制部门核定批复的部门（单位）人员编制数为</w:t>
      </w:r>
      <w:r>
        <w:rPr>
          <w:rFonts w:hint="eastAsia"/>
        </w:rPr>
        <w:t>43</w:t>
      </w:r>
      <w:r>
        <w:t>人，其中</w:t>
      </w:r>
      <w:r>
        <w:rPr>
          <w:rFonts w:hint="eastAsia"/>
        </w:rPr>
        <w:t>行政</w:t>
      </w:r>
      <w:r>
        <w:t>编制40</w:t>
      </w:r>
      <w:r>
        <w:rPr>
          <w:rFonts w:hint="eastAsia"/>
        </w:rPr>
        <w:t>人</w:t>
      </w:r>
      <w:r>
        <w:t>，事业编制3</w:t>
      </w:r>
      <w:r>
        <w:rPr>
          <w:rFonts w:hint="eastAsia"/>
        </w:rPr>
        <w:t>人。2021年实有人员48人，其中行政编制43人、事业编制5人</w:t>
      </w:r>
      <w:r>
        <w:t>。在职人员控制率</w:t>
      </w:r>
      <w:r>
        <w:rPr>
          <w:rFonts w:hint="eastAsia"/>
        </w:rPr>
        <w:t>为111.63</w:t>
      </w:r>
      <w:r>
        <w:t>%</w:t>
      </w:r>
      <w:r>
        <w:rPr>
          <w:rFonts w:hint="eastAsia"/>
        </w:rPr>
        <w:t>。</w:t>
      </w:r>
    </w:p>
    <w:p>
      <w:pPr>
        <w:pStyle w:val="5"/>
        <w:ind w:firstLine="602"/>
      </w:pPr>
      <w:bookmarkStart w:id="24" w:name="_Toc31334"/>
      <w:bookmarkStart w:id="25" w:name="_Toc9537"/>
      <w:bookmarkStart w:id="26" w:name="_Toc6356"/>
      <w:r>
        <w:t>（二）相关建议</w:t>
      </w:r>
      <w:bookmarkEnd w:id="24"/>
      <w:bookmarkEnd w:id="25"/>
    </w:p>
    <w:bookmarkEnd w:id="26"/>
    <w:p>
      <w:pPr>
        <w:pStyle w:val="25"/>
        <w:ind w:firstLine="560"/>
      </w:pPr>
      <w:r>
        <w:t>1.积极引入绩效理念，建立健全绩效考核制度</w:t>
      </w:r>
    </w:p>
    <w:p>
      <w:pPr>
        <w:pStyle w:val="25"/>
        <w:ind w:firstLine="560"/>
      </w:pPr>
      <w:r>
        <w:t>建议</w:t>
      </w:r>
      <w:r>
        <w:rPr>
          <w:rFonts w:hint="eastAsia"/>
        </w:rPr>
        <w:t>柞水县司法局</w:t>
      </w:r>
      <w:r>
        <w:t>在计划管理工作中，积极引入部门绩效管理理念。明确基本经费的绩效管理目标，细化任务，结合政策规定、管理要求制定可细化、可衡量的产出和效果指标，对定性目标要细化、规范化，避免模棱两可、含糊不清的语言；对量化指标要建立科学合理的指标增长机制，指标过低或过高都不利于激发工作积极性和工作热情，制定的指标数应以上年度完成情况为基数的情况下，充分考虑指标完成过程中的各种因素，构建一个科学、合理、规范的绩效考核体系，避免目标绩效管理流于形式、疲于应付等弊端，从而形成部门有目标、工作有计划、绩效可量化、考核有依据的计划目标管理机制，便于有效考核执行效果。</w:t>
      </w:r>
    </w:p>
    <w:p>
      <w:pPr>
        <w:ind w:firstLine="560"/>
      </w:pPr>
      <w:r>
        <w:t>2.实行实名制管理，退一减一</w:t>
      </w:r>
    </w:p>
    <w:p>
      <w:pPr>
        <w:ind w:firstLine="560"/>
      </w:pPr>
      <w:r>
        <w:rPr>
          <w:rFonts w:hint="eastAsia"/>
        </w:rPr>
        <w:t>（1）</w:t>
      </w:r>
      <w:r>
        <w:t>提前退休。对部分工龄满三十年或工龄满二十年距退休不足五年的，在在与本人协商一致的基础上，经本人申请允许提前退休。</w:t>
      </w:r>
    </w:p>
    <w:p>
      <w:pPr>
        <w:ind w:firstLine="560"/>
      </w:pPr>
      <w:r>
        <w:rPr>
          <w:rFonts w:hint="eastAsia"/>
        </w:rPr>
        <w:t>（2）</w:t>
      </w:r>
      <w:r>
        <w:t>分流安置。结合本人意愿和组织意图，分流到其他单位安置。同时适当减少招录人员，如：单位在3到5年内需补充人员的，原则上</w:t>
      </w:r>
      <w:r>
        <w:rPr>
          <w:rFonts w:hint="eastAsia"/>
        </w:rPr>
        <w:t>可以</w:t>
      </w:r>
      <w:r>
        <w:t>从同类型单位的超编、超职数、超岗位安置人员中选调。</w:t>
      </w:r>
    </w:p>
    <w:p>
      <w:pPr>
        <w:ind w:firstLine="560"/>
      </w:pPr>
      <w:r>
        <w:rPr>
          <w:rFonts w:hint="eastAsia"/>
        </w:rPr>
        <w:t>（3）</w:t>
      </w:r>
      <w:r>
        <w:t>鼓励转岗。对部分已取得相关专业技术资格的参公人员，本人自愿转岗到其它事业单位从事专业技术工作，按照岗位条件、要求等允许聘任到相应岗位，执行事业单位人事管理制度。</w:t>
      </w:r>
    </w:p>
    <w:p>
      <w:pPr>
        <w:ind w:firstLine="560"/>
      </w:pPr>
      <w:r>
        <w:rPr>
          <w:rFonts w:hint="eastAsia"/>
        </w:rPr>
        <w:t>（4）</w:t>
      </w:r>
      <w:r>
        <w:t>自然消化。行政机关工勤岗，出现超编的，实行超编过渡，按照“只出不进，自然消化”的原则逐步消化。</w:t>
      </w:r>
    </w:p>
    <w:p>
      <w:pPr>
        <w:ind w:firstLine="560"/>
      </w:pPr>
      <w:r>
        <w:rPr>
          <w:rFonts w:hint="eastAsia"/>
        </w:rPr>
        <w:t>3.</w:t>
      </w:r>
      <w:r>
        <w:t>加强部门预决算信息公开质量</w:t>
      </w:r>
    </w:p>
    <w:p>
      <w:pPr>
        <w:ind w:firstLine="560"/>
      </w:pPr>
      <w:r>
        <w:t>建议</w:t>
      </w:r>
      <w:r>
        <w:rPr>
          <w:rFonts w:hint="eastAsia"/>
        </w:rPr>
        <w:t>柞水县司法局</w:t>
      </w:r>
      <w:r>
        <w:t>进一步加强对预决算公开监督检查，除了及时性、报表完整性和格式等形式上的内容外，要注重运用大数据等现代科技手段，更多地向数据真实性、合理性以及报表间的勾稽关系等内容拓展，有力提升预决算公开质量。</w:t>
      </w:r>
    </w:p>
    <w:p>
      <w:pPr>
        <w:pStyle w:val="35"/>
        <w:ind w:firstLine="643"/>
      </w:pPr>
      <w:bookmarkStart w:id="27" w:name="_Toc107476861"/>
      <w:bookmarkStart w:id="28" w:name="_Toc31652"/>
      <w:r>
        <w:t>六、附件</w:t>
      </w:r>
      <w:bookmarkEnd w:id="27"/>
      <w:bookmarkEnd w:id="28"/>
    </w:p>
    <w:p>
      <w:pPr>
        <w:pStyle w:val="25"/>
        <w:ind w:firstLine="560"/>
      </w:pPr>
      <w:r>
        <w:t>1.</w:t>
      </w:r>
      <w:r>
        <w:rPr>
          <w:rFonts w:hint="eastAsia"/>
        </w:rPr>
        <w:t>柞水县司法局</w:t>
      </w:r>
      <w:r>
        <w:t>2021年部门整体支出绩效指标评分表；</w:t>
      </w:r>
    </w:p>
    <w:p>
      <w:pPr>
        <w:ind w:firstLine="560"/>
        <w:rPr>
          <w:szCs w:val="28"/>
        </w:rPr>
      </w:pPr>
      <w:r>
        <w:rPr>
          <w:szCs w:val="28"/>
        </w:rPr>
        <w:br w:type="page"/>
      </w:r>
    </w:p>
    <w:p>
      <w:pPr>
        <w:pStyle w:val="4"/>
        <w:ind w:firstLine="643"/>
        <w:rPr>
          <w:rStyle w:val="22"/>
          <w:color w:val="auto"/>
          <w:u w:val="none"/>
        </w:rPr>
      </w:pPr>
      <w:bookmarkStart w:id="29" w:name="_Toc31090"/>
      <w:r>
        <w:rPr>
          <w:rStyle w:val="22"/>
          <w:color w:val="auto"/>
          <w:u w:val="none"/>
        </w:rPr>
        <w:t>附件一：</w:t>
      </w:r>
      <w:r>
        <w:rPr>
          <w:rStyle w:val="22"/>
          <w:rFonts w:hint="eastAsia"/>
          <w:color w:val="auto"/>
          <w:u w:val="none"/>
        </w:rPr>
        <w:t>柞水县司法局</w:t>
      </w:r>
      <w:r>
        <w:rPr>
          <w:rStyle w:val="22"/>
          <w:color w:val="auto"/>
          <w:u w:val="none"/>
        </w:rPr>
        <w:t>2021年部门整体支出绩效指标评分表</w:t>
      </w:r>
      <w:bookmarkEnd w:id="29"/>
    </w:p>
    <w:tbl>
      <w:tblPr>
        <w:tblStyle w:val="19"/>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132"/>
        <w:gridCol w:w="758"/>
        <w:gridCol w:w="1484"/>
        <w:gridCol w:w="810"/>
        <w:gridCol w:w="4657"/>
        <w:gridCol w:w="2539"/>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8"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一级指标</w:t>
            </w:r>
          </w:p>
        </w:tc>
        <w:tc>
          <w:tcPr>
            <w:tcW w:w="1132"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二级指标</w:t>
            </w:r>
          </w:p>
        </w:tc>
        <w:tc>
          <w:tcPr>
            <w:tcW w:w="758"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分值</w:t>
            </w:r>
          </w:p>
        </w:tc>
        <w:tc>
          <w:tcPr>
            <w:tcW w:w="1484"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三级指标</w:t>
            </w:r>
          </w:p>
        </w:tc>
        <w:tc>
          <w:tcPr>
            <w:tcW w:w="810"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分值</w:t>
            </w:r>
          </w:p>
        </w:tc>
        <w:tc>
          <w:tcPr>
            <w:tcW w:w="4657"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指标说明</w:t>
            </w:r>
          </w:p>
        </w:tc>
        <w:tc>
          <w:tcPr>
            <w:tcW w:w="2539"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评价标准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198" w:type="dxa"/>
            <w:vMerge w:val="restart"/>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A投入</w:t>
            </w:r>
          </w:p>
          <w:p>
            <w:pPr>
              <w:widowControl/>
              <w:spacing w:line="240" w:lineRule="auto"/>
              <w:ind w:firstLine="0" w:firstLineChars="0"/>
              <w:jc w:val="left"/>
              <w:textAlignment w:val="center"/>
              <w:rPr>
                <w:color w:val="000000"/>
                <w:sz w:val="21"/>
                <w:szCs w:val="21"/>
              </w:rPr>
            </w:pPr>
            <w:r>
              <w:rPr>
                <w:color w:val="000000"/>
                <w:kern w:val="0"/>
                <w:sz w:val="21"/>
                <w:szCs w:val="21"/>
                <w:lang w:bidi="ar"/>
              </w:rPr>
              <w:t>（</w:t>
            </w:r>
            <w:r>
              <w:rPr>
                <w:rStyle w:val="41"/>
                <w:lang w:bidi="ar"/>
              </w:rPr>
              <w:t>15</w:t>
            </w:r>
            <w:r>
              <w:rPr>
                <w:color w:val="000000"/>
                <w:kern w:val="0"/>
                <w:sz w:val="21"/>
                <w:szCs w:val="21"/>
                <w:lang w:bidi="ar"/>
              </w:rPr>
              <w:t>分）</w:t>
            </w:r>
          </w:p>
        </w:tc>
        <w:tc>
          <w:tcPr>
            <w:tcW w:w="1132"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A1目标设定</w:t>
            </w:r>
          </w:p>
        </w:tc>
        <w:tc>
          <w:tcPr>
            <w:tcW w:w="758" w:type="dxa"/>
            <w:vMerge w:val="restart"/>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6</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A11部门职责明确性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部门的职责设定是否符合</w:t>
            </w:r>
            <w:r>
              <w:rPr>
                <w:rStyle w:val="41"/>
                <w:lang w:bidi="ar"/>
              </w:rPr>
              <w:t>“</w:t>
            </w:r>
            <w:r>
              <w:rPr>
                <w:color w:val="000000"/>
                <w:kern w:val="0"/>
                <w:sz w:val="21"/>
                <w:szCs w:val="21"/>
                <w:lang w:bidi="ar"/>
              </w:rPr>
              <w:t>三定</w:t>
            </w:r>
            <w:r>
              <w:rPr>
                <w:rStyle w:val="41"/>
                <w:lang w:bidi="ar"/>
              </w:rPr>
              <w:t>”</w:t>
            </w:r>
            <w:r>
              <w:rPr>
                <w:color w:val="000000"/>
                <w:kern w:val="0"/>
                <w:sz w:val="21"/>
                <w:szCs w:val="21"/>
                <w:lang w:bidi="ar"/>
              </w:rPr>
              <w:t>方案中所赋予的职责和年度承担的重点工作，用以反映和评价部门工作的目的性与计划性。</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全部符合（</w:t>
            </w:r>
            <w:r>
              <w:rPr>
                <w:rStyle w:val="41"/>
                <w:lang w:bidi="ar"/>
              </w:rPr>
              <w:t>2</w:t>
            </w:r>
            <w:r>
              <w:rPr>
                <w:color w:val="000000"/>
                <w:kern w:val="0"/>
                <w:sz w:val="21"/>
                <w:szCs w:val="21"/>
                <w:lang w:bidi="ar"/>
              </w:rPr>
              <w:t>分）；其中一项不符合扣</w:t>
            </w:r>
            <w:r>
              <w:rPr>
                <w:rStyle w:val="41"/>
                <w:lang w:bidi="ar"/>
              </w:rPr>
              <w:t>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A11绩效目标合规性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tcBorders>
              <w:bottom w:val="single" w:color="auto" w:sz="4" w:space="0"/>
            </w:tcBorders>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部门的绩效目标是否在职责范围之内并符合部门中长期规划，用以反映和评价部门活动目标与部门履职、年度工作任务的相符性情况。</w:t>
            </w:r>
          </w:p>
          <w:p>
            <w:pPr>
              <w:widowControl/>
              <w:spacing w:line="240" w:lineRule="auto"/>
              <w:ind w:firstLine="0" w:firstLineChars="0"/>
              <w:jc w:val="left"/>
              <w:textAlignment w:val="center"/>
            </w:pPr>
            <w:r>
              <w:rPr>
                <w:color w:val="000000"/>
                <w:kern w:val="0"/>
                <w:sz w:val="21"/>
                <w:szCs w:val="21"/>
                <w:lang w:bidi="ar"/>
              </w:rPr>
              <w:t>评价要点：1.绩效目标的设定在部门所确定的职责范围之内；2.绩效目标符合县委、县政府的发展规划及本部门的年度工作安排与发展规划。</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全部符合（</w:t>
            </w:r>
            <w:r>
              <w:rPr>
                <w:rStyle w:val="41"/>
                <w:lang w:bidi="ar"/>
              </w:rPr>
              <w:t>2</w:t>
            </w:r>
            <w:r>
              <w:rPr>
                <w:color w:val="000000"/>
                <w:kern w:val="0"/>
                <w:sz w:val="21"/>
                <w:szCs w:val="21"/>
                <w:lang w:bidi="ar"/>
              </w:rPr>
              <w:t>分）；其中一项不符合扣</w:t>
            </w:r>
            <w:r>
              <w:rPr>
                <w:rStyle w:val="41"/>
                <w:lang w:bidi="ar"/>
              </w:rPr>
              <w:t>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A12绩效指标合理性</w:t>
            </w:r>
          </w:p>
        </w:tc>
        <w:tc>
          <w:tcPr>
            <w:tcW w:w="810" w:type="dxa"/>
            <w:tcBorders>
              <w:right w:val="single" w:color="auto"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部门所设立的绩效目标是否明确合理、绩效目标的关键性指标设置是否可衡量，用以反映和评价部门活动目标设定的合理性。</w:t>
            </w:r>
          </w:p>
          <w:p>
            <w:pPr>
              <w:widowControl/>
              <w:spacing w:line="240" w:lineRule="auto"/>
              <w:ind w:firstLine="0" w:firstLineChars="0"/>
              <w:jc w:val="left"/>
              <w:textAlignment w:val="center"/>
            </w:pPr>
            <w:r>
              <w:rPr>
                <w:color w:val="000000"/>
                <w:kern w:val="0"/>
                <w:sz w:val="21"/>
                <w:szCs w:val="21"/>
                <w:lang w:bidi="ar"/>
              </w:rPr>
              <w:t>评价要点：绩效目标的设定是可量化的，可通过清晰、可衡量的关键指标予以体现；2.在绩效目标设定时，将关键指标明细分解为具体的达成指标和工作任务。</w:t>
            </w:r>
          </w:p>
        </w:tc>
        <w:tc>
          <w:tcPr>
            <w:tcW w:w="2539" w:type="dxa"/>
            <w:tcBorders>
              <w:left w:val="single" w:color="auto" w:sz="4" w:space="0"/>
            </w:tcBorders>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全部符合（</w:t>
            </w:r>
            <w:r>
              <w:rPr>
                <w:rStyle w:val="41"/>
                <w:lang w:bidi="ar"/>
              </w:rPr>
              <w:t>2</w:t>
            </w:r>
            <w:r>
              <w:rPr>
                <w:color w:val="000000"/>
                <w:kern w:val="0"/>
                <w:sz w:val="21"/>
                <w:szCs w:val="21"/>
                <w:lang w:bidi="ar"/>
              </w:rPr>
              <w:t>分）；其中一项不符合扣</w:t>
            </w:r>
            <w:r>
              <w:rPr>
                <w:rStyle w:val="41"/>
                <w:lang w:bidi="ar"/>
              </w:rPr>
              <w:t>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A2预算配置</w:t>
            </w:r>
          </w:p>
        </w:tc>
        <w:tc>
          <w:tcPr>
            <w:tcW w:w="758" w:type="dxa"/>
            <w:vMerge w:val="restart"/>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9</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A21在职人员控制率</w:t>
            </w:r>
          </w:p>
        </w:tc>
        <w:tc>
          <w:tcPr>
            <w:tcW w:w="810" w:type="dxa"/>
            <w:tcBorders>
              <w:right w:val="single" w:color="auto"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部门年度实际在职人员与编制数的比率，用以反映和评价人员成本的控制程度。</w:t>
            </w:r>
          </w:p>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在职人员控制率</w:t>
            </w:r>
            <w:r>
              <w:rPr>
                <w:rStyle w:val="41"/>
                <w:lang w:bidi="ar"/>
              </w:rPr>
              <w:t>=</w:t>
            </w:r>
            <w:r>
              <w:rPr>
                <w:color w:val="000000"/>
                <w:kern w:val="0"/>
                <w:sz w:val="21"/>
                <w:szCs w:val="21"/>
                <w:lang w:bidi="ar"/>
              </w:rPr>
              <w:t>（在职人员数</w:t>
            </w:r>
            <w:r>
              <w:rPr>
                <w:rStyle w:val="41"/>
                <w:lang w:bidi="ar"/>
              </w:rPr>
              <w:t>/</w:t>
            </w:r>
            <w:r>
              <w:rPr>
                <w:color w:val="000000"/>
                <w:kern w:val="0"/>
                <w:sz w:val="21"/>
                <w:szCs w:val="21"/>
                <w:lang w:bidi="ar"/>
              </w:rPr>
              <w:t>编制数）</w:t>
            </w:r>
            <w:r>
              <w:rPr>
                <w:rStyle w:val="41"/>
                <w:lang w:bidi="ar"/>
              </w:rPr>
              <w:t>×100%</w:t>
            </w:r>
            <w:r>
              <w:rPr>
                <w:color w:val="000000"/>
                <w:kern w:val="0"/>
                <w:sz w:val="21"/>
                <w:szCs w:val="21"/>
                <w:lang w:bidi="ar"/>
              </w:rPr>
              <w:t>。</w:t>
            </w:r>
          </w:p>
          <w:p>
            <w:pPr>
              <w:widowControl/>
              <w:spacing w:line="240" w:lineRule="auto"/>
              <w:ind w:firstLine="0" w:firstLineChars="0"/>
              <w:jc w:val="left"/>
              <w:textAlignment w:val="center"/>
              <w:rPr>
                <w:color w:val="000000"/>
                <w:sz w:val="21"/>
                <w:szCs w:val="21"/>
              </w:rPr>
            </w:pPr>
            <w:r>
              <w:rPr>
                <w:color w:val="000000"/>
                <w:kern w:val="0"/>
                <w:sz w:val="21"/>
                <w:szCs w:val="21"/>
                <w:lang w:bidi="ar"/>
              </w:rPr>
              <w:t>在职人员数：部门（单位）实际在职人数，以财政部确定的部门决算编制口径为准。</w:t>
            </w:r>
          </w:p>
          <w:p>
            <w:pPr>
              <w:widowControl/>
              <w:spacing w:line="240" w:lineRule="auto"/>
              <w:ind w:firstLine="0" w:firstLineChars="0"/>
              <w:jc w:val="left"/>
              <w:textAlignment w:val="center"/>
              <w:rPr>
                <w:color w:val="000000"/>
                <w:sz w:val="21"/>
                <w:szCs w:val="21"/>
              </w:rPr>
            </w:pPr>
            <w:r>
              <w:rPr>
                <w:color w:val="000000"/>
                <w:kern w:val="0"/>
                <w:sz w:val="21"/>
                <w:szCs w:val="21"/>
                <w:lang w:bidi="ar"/>
              </w:rPr>
              <w:t>编制数：机构编制部门核定批复的部门（单位）的人员编制数。</w:t>
            </w:r>
          </w:p>
        </w:tc>
        <w:tc>
          <w:tcPr>
            <w:tcW w:w="2539" w:type="dxa"/>
            <w:tcBorders>
              <w:left w:val="single" w:color="auto" w:sz="4" w:space="0"/>
            </w:tcBorders>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w:t>
            </w:r>
            <w:r>
              <w:rPr>
                <w:rStyle w:val="41"/>
                <w:lang w:bidi="ar"/>
              </w:rPr>
              <w:t>≤100%</w:t>
            </w:r>
            <w:r>
              <w:rPr>
                <w:color w:val="000000"/>
                <w:kern w:val="0"/>
                <w:sz w:val="21"/>
                <w:szCs w:val="21"/>
                <w:lang w:bidi="ar"/>
              </w:rPr>
              <w:t>；达到目标值（</w:t>
            </w:r>
            <w:r>
              <w:rPr>
                <w:rStyle w:val="41"/>
                <w:lang w:bidi="ar"/>
              </w:rPr>
              <w:t>3</w:t>
            </w:r>
            <w:r>
              <w:rPr>
                <w:color w:val="000000"/>
                <w:kern w:val="0"/>
                <w:sz w:val="21"/>
                <w:szCs w:val="21"/>
                <w:lang w:bidi="ar"/>
              </w:rPr>
              <w:t>分），每超出一人扣</w:t>
            </w:r>
            <w:r>
              <w:rPr>
                <w:rStyle w:val="41"/>
                <w:lang w:bidi="ar"/>
              </w:rPr>
              <w:t>0.2</w:t>
            </w:r>
            <w:r>
              <w:rPr>
                <w:color w:val="000000"/>
                <w:kern w:val="0"/>
                <w:sz w:val="21"/>
                <w:szCs w:val="21"/>
                <w:lang w:bidi="ar"/>
              </w:rPr>
              <w:t>分 ，扣完为止。</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A22“三公经费</w:t>
            </w:r>
            <w:r>
              <w:rPr>
                <w:rStyle w:val="41"/>
                <w:lang w:bidi="ar"/>
              </w:rPr>
              <w:t>”</w:t>
            </w:r>
            <w:r>
              <w:rPr>
                <w:color w:val="000000"/>
                <w:kern w:val="0"/>
                <w:sz w:val="21"/>
                <w:szCs w:val="21"/>
                <w:lang w:bidi="ar"/>
              </w:rPr>
              <w:t>变动率</w:t>
            </w:r>
          </w:p>
        </w:tc>
        <w:tc>
          <w:tcPr>
            <w:tcW w:w="810" w:type="dxa"/>
            <w:tcBorders>
              <w:right w:val="single" w:color="auto"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部门本年度</w:t>
            </w:r>
            <w:r>
              <w:rPr>
                <w:rStyle w:val="41"/>
                <w:lang w:bidi="ar"/>
              </w:rPr>
              <w:t>“</w:t>
            </w:r>
            <w:r>
              <w:rPr>
                <w:color w:val="000000"/>
                <w:kern w:val="0"/>
                <w:sz w:val="21"/>
                <w:szCs w:val="21"/>
                <w:lang w:bidi="ar"/>
              </w:rPr>
              <w:t>三公经费</w:t>
            </w:r>
            <w:r>
              <w:rPr>
                <w:rStyle w:val="41"/>
                <w:lang w:bidi="ar"/>
              </w:rPr>
              <w:t>”</w:t>
            </w:r>
            <w:r>
              <w:rPr>
                <w:color w:val="000000"/>
                <w:kern w:val="0"/>
                <w:sz w:val="21"/>
                <w:szCs w:val="21"/>
                <w:lang w:bidi="ar"/>
              </w:rPr>
              <w:t>预算数与上年度</w:t>
            </w:r>
            <w:r>
              <w:rPr>
                <w:rStyle w:val="41"/>
                <w:lang w:bidi="ar"/>
              </w:rPr>
              <w:t>“</w:t>
            </w:r>
            <w:r>
              <w:rPr>
                <w:color w:val="000000"/>
                <w:kern w:val="0"/>
                <w:sz w:val="21"/>
                <w:szCs w:val="21"/>
                <w:lang w:bidi="ar"/>
              </w:rPr>
              <w:t>三公经费</w:t>
            </w:r>
            <w:r>
              <w:rPr>
                <w:rStyle w:val="41"/>
                <w:lang w:bidi="ar"/>
              </w:rPr>
              <w:t>”</w:t>
            </w:r>
            <w:r>
              <w:rPr>
                <w:color w:val="000000"/>
                <w:kern w:val="0"/>
                <w:sz w:val="21"/>
                <w:szCs w:val="21"/>
                <w:lang w:bidi="ar"/>
              </w:rPr>
              <w:t>预算数的变动比率，用以反映和考核部门对控制重点行政成本的努力程度。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“三公经费</w:t>
            </w:r>
            <w:r>
              <w:rPr>
                <w:rStyle w:val="41"/>
                <w:lang w:bidi="ar"/>
              </w:rPr>
              <w:t>”</w:t>
            </w:r>
            <w:r>
              <w:rPr>
                <w:color w:val="000000"/>
                <w:kern w:val="0"/>
                <w:sz w:val="21"/>
                <w:szCs w:val="21"/>
                <w:lang w:bidi="ar"/>
              </w:rPr>
              <w:t>变动率</w:t>
            </w:r>
            <w:r>
              <w:rPr>
                <w:rStyle w:val="41"/>
                <w:lang w:bidi="ar"/>
              </w:rPr>
              <w:t>=[</w:t>
            </w:r>
            <w:r>
              <w:rPr>
                <w:color w:val="000000"/>
                <w:kern w:val="0"/>
                <w:sz w:val="21"/>
                <w:szCs w:val="21"/>
                <w:lang w:bidi="ar"/>
              </w:rPr>
              <w:t>（本年度</w:t>
            </w:r>
            <w:r>
              <w:rPr>
                <w:rStyle w:val="41"/>
                <w:lang w:bidi="ar"/>
              </w:rPr>
              <w:t>“</w:t>
            </w:r>
            <w:r>
              <w:rPr>
                <w:color w:val="000000"/>
                <w:kern w:val="0"/>
                <w:sz w:val="21"/>
                <w:szCs w:val="21"/>
                <w:lang w:bidi="ar"/>
              </w:rPr>
              <w:t>三公经费</w:t>
            </w:r>
            <w:r>
              <w:rPr>
                <w:rStyle w:val="41"/>
                <w:lang w:bidi="ar"/>
              </w:rPr>
              <w:t>”</w:t>
            </w:r>
            <w:r>
              <w:rPr>
                <w:color w:val="000000"/>
                <w:kern w:val="0"/>
                <w:sz w:val="21"/>
                <w:szCs w:val="21"/>
                <w:lang w:bidi="ar"/>
              </w:rPr>
              <w:t>预算数</w:t>
            </w:r>
            <w:r>
              <w:rPr>
                <w:rStyle w:val="41"/>
                <w:lang w:bidi="ar"/>
              </w:rPr>
              <w:t>-</w:t>
            </w:r>
            <w:r>
              <w:rPr>
                <w:color w:val="000000"/>
                <w:kern w:val="0"/>
                <w:sz w:val="21"/>
                <w:szCs w:val="21"/>
                <w:lang w:bidi="ar"/>
              </w:rPr>
              <w:t>上年度</w:t>
            </w:r>
            <w:r>
              <w:rPr>
                <w:rStyle w:val="41"/>
                <w:lang w:bidi="ar"/>
              </w:rPr>
              <w:t>“</w:t>
            </w:r>
            <w:r>
              <w:rPr>
                <w:color w:val="000000"/>
                <w:kern w:val="0"/>
                <w:sz w:val="21"/>
                <w:szCs w:val="21"/>
                <w:lang w:bidi="ar"/>
              </w:rPr>
              <w:t>三公经费</w:t>
            </w:r>
            <w:r>
              <w:rPr>
                <w:rStyle w:val="41"/>
                <w:lang w:bidi="ar"/>
              </w:rPr>
              <w:t>”</w:t>
            </w:r>
            <w:r>
              <w:rPr>
                <w:color w:val="000000"/>
                <w:kern w:val="0"/>
                <w:sz w:val="21"/>
                <w:szCs w:val="21"/>
                <w:lang w:bidi="ar"/>
              </w:rPr>
              <w:t>预算数）</w:t>
            </w:r>
            <w:r>
              <w:rPr>
                <w:rStyle w:val="41"/>
                <w:lang w:bidi="ar"/>
              </w:rPr>
              <w:t>/</w:t>
            </w:r>
            <w:r>
              <w:rPr>
                <w:color w:val="000000"/>
                <w:kern w:val="0"/>
                <w:sz w:val="21"/>
                <w:szCs w:val="21"/>
                <w:lang w:bidi="ar"/>
              </w:rPr>
              <w:t>上年度</w:t>
            </w:r>
            <w:r>
              <w:rPr>
                <w:rStyle w:val="41"/>
                <w:lang w:bidi="ar"/>
              </w:rPr>
              <w:t>“</w:t>
            </w:r>
            <w:r>
              <w:rPr>
                <w:color w:val="000000"/>
                <w:kern w:val="0"/>
                <w:sz w:val="21"/>
                <w:szCs w:val="21"/>
                <w:lang w:bidi="ar"/>
              </w:rPr>
              <w:t>三公经费</w:t>
            </w:r>
            <w:r>
              <w:rPr>
                <w:rStyle w:val="41"/>
                <w:lang w:bidi="ar"/>
              </w:rPr>
              <w:t>”</w:t>
            </w:r>
            <w:r>
              <w:rPr>
                <w:color w:val="000000"/>
                <w:kern w:val="0"/>
                <w:sz w:val="21"/>
                <w:szCs w:val="21"/>
                <w:lang w:bidi="ar"/>
              </w:rPr>
              <w:t>预算数</w:t>
            </w:r>
            <w:r>
              <w:rPr>
                <w:rStyle w:val="41"/>
                <w:lang w:bidi="ar"/>
              </w:rPr>
              <w:t>]×100%</w:t>
            </w:r>
          </w:p>
          <w:p>
            <w:pPr>
              <w:widowControl/>
              <w:spacing w:line="240" w:lineRule="auto"/>
              <w:ind w:firstLine="0" w:firstLineChars="0"/>
              <w:jc w:val="left"/>
              <w:textAlignment w:val="center"/>
              <w:rPr>
                <w:color w:val="000000"/>
                <w:sz w:val="21"/>
                <w:szCs w:val="21"/>
              </w:rPr>
            </w:pPr>
            <w:r>
              <w:rPr>
                <w:color w:val="000000"/>
                <w:kern w:val="0"/>
                <w:sz w:val="21"/>
                <w:szCs w:val="21"/>
                <w:lang w:bidi="ar"/>
              </w:rPr>
              <w:t>“三公经费</w:t>
            </w:r>
            <w:r>
              <w:rPr>
                <w:rStyle w:val="41"/>
                <w:lang w:bidi="ar"/>
              </w:rPr>
              <w:t>”</w:t>
            </w:r>
            <w:r>
              <w:rPr>
                <w:color w:val="000000"/>
                <w:kern w:val="0"/>
                <w:sz w:val="21"/>
                <w:szCs w:val="21"/>
                <w:lang w:bidi="ar"/>
              </w:rPr>
              <w:t>：年度预算安排的因公出国（境）费、公务车辆购置及运行费和公务招待费。</w:t>
            </w:r>
          </w:p>
        </w:tc>
        <w:tc>
          <w:tcPr>
            <w:tcW w:w="2539" w:type="dxa"/>
            <w:tcBorders>
              <w:left w:val="single" w:color="auto" w:sz="4" w:space="0"/>
            </w:tcBorders>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“三公经费</w:t>
            </w:r>
            <w:r>
              <w:rPr>
                <w:rStyle w:val="41"/>
                <w:lang w:bidi="ar"/>
              </w:rPr>
              <w:t>”</w:t>
            </w:r>
            <w:r>
              <w:rPr>
                <w:color w:val="000000"/>
                <w:kern w:val="0"/>
                <w:sz w:val="21"/>
                <w:szCs w:val="21"/>
                <w:lang w:bidi="ar"/>
              </w:rPr>
              <w:t>变动率</w:t>
            </w:r>
            <w:r>
              <w:rPr>
                <w:rStyle w:val="41"/>
                <w:lang w:bidi="ar"/>
              </w:rPr>
              <w:t>≦0</w:t>
            </w:r>
            <w:r>
              <w:rPr>
                <w:color w:val="000000"/>
                <w:kern w:val="0"/>
                <w:sz w:val="21"/>
                <w:szCs w:val="21"/>
                <w:lang w:bidi="ar"/>
              </w:rPr>
              <w:t xml:space="preserve">，得 </w:t>
            </w:r>
            <w:r>
              <w:rPr>
                <w:rStyle w:val="41"/>
                <w:lang w:bidi="ar"/>
              </w:rPr>
              <w:t>3</w:t>
            </w:r>
            <w:r>
              <w:rPr>
                <w:color w:val="000000"/>
                <w:kern w:val="0"/>
                <w:sz w:val="21"/>
                <w:szCs w:val="21"/>
                <w:lang w:bidi="ar"/>
              </w:rPr>
              <w:t>分；</w:t>
            </w:r>
            <w:r>
              <w:rPr>
                <w:rStyle w:val="41"/>
                <w:lang w:bidi="ar"/>
              </w:rPr>
              <w:t>“</w:t>
            </w:r>
            <w:r>
              <w:rPr>
                <w:color w:val="000000"/>
                <w:kern w:val="0"/>
                <w:sz w:val="21"/>
                <w:szCs w:val="21"/>
                <w:lang w:bidi="ar"/>
              </w:rPr>
              <w:t>三公经费</w:t>
            </w:r>
            <w:r>
              <w:rPr>
                <w:rStyle w:val="41"/>
                <w:lang w:bidi="ar"/>
              </w:rPr>
              <w:t>”</w:t>
            </w:r>
            <w:r>
              <w:rPr>
                <w:color w:val="000000"/>
                <w:kern w:val="0"/>
                <w:sz w:val="21"/>
                <w:szCs w:val="21"/>
                <w:lang w:bidi="ar"/>
              </w:rPr>
              <w:t>变动率＞</w:t>
            </w:r>
            <w:r>
              <w:rPr>
                <w:rStyle w:val="41"/>
                <w:lang w:bidi="ar"/>
              </w:rPr>
              <w:t>0</w:t>
            </w:r>
            <w:r>
              <w:rPr>
                <w:color w:val="000000"/>
                <w:kern w:val="0"/>
                <w:sz w:val="21"/>
                <w:szCs w:val="21"/>
                <w:lang w:bidi="ar"/>
              </w:rPr>
              <w:t>，每超过一个百分点扣</w:t>
            </w:r>
            <w:r>
              <w:rPr>
                <w:rStyle w:val="41"/>
                <w:lang w:bidi="ar"/>
              </w:rPr>
              <w:t>0.2</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A23重点支出安排率</w:t>
            </w:r>
          </w:p>
        </w:tc>
        <w:tc>
          <w:tcPr>
            <w:tcW w:w="810" w:type="dxa"/>
            <w:tcBorders>
              <w:right w:val="single" w:color="auto"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部门（单位）本年度预算安排的重点项目支出与部门项目总支出的比率，用以反映和考核部门（单位）对履行主要职责或完成重点任务的保障程度。重点支出安排率</w:t>
            </w:r>
            <w:r>
              <w:rPr>
                <w:rStyle w:val="41"/>
                <w:lang w:bidi="ar"/>
              </w:rPr>
              <w:t>=</w:t>
            </w:r>
            <w:r>
              <w:rPr>
                <w:color w:val="000000"/>
                <w:kern w:val="0"/>
                <w:sz w:val="21"/>
                <w:szCs w:val="21"/>
                <w:lang w:bidi="ar"/>
              </w:rPr>
              <w:t>（重点项目支出</w:t>
            </w:r>
            <w:r>
              <w:rPr>
                <w:rStyle w:val="41"/>
                <w:lang w:bidi="ar"/>
              </w:rPr>
              <w:t>/</w:t>
            </w:r>
            <w:r>
              <w:rPr>
                <w:color w:val="000000"/>
                <w:kern w:val="0"/>
                <w:sz w:val="21"/>
                <w:szCs w:val="21"/>
                <w:lang w:bidi="ar"/>
              </w:rPr>
              <w:t>项目总支出）</w:t>
            </w:r>
            <w:r>
              <w:rPr>
                <w:rStyle w:val="41"/>
                <w:lang w:bidi="ar"/>
              </w:rPr>
              <w:t>×100%</w:t>
            </w:r>
            <w:r>
              <w:rPr>
                <w:color w:val="000000"/>
                <w:kern w:val="0"/>
                <w:sz w:val="21"/>
                <w:szCs w:val="21"/>
                <w:lang w:bidi="ar"/>
              </w:rPr>
              <w:t>。</w:t>
            </w:r>
          </w:p>
          <w:p>
            <w:pPr>
              <w:widowControl/>
              <w:spacing w:line="240" w:lineRule="auto"/>
              <w:ind w:firstLine="0" w:firstLineChars="0"/>
              <w:jc w:val="left"/>
              <w:textAlignment w:val="center"/>
              <w:rPr>
                <w:color w:val="000000"/>
                <w:sz w:val="21"/>
                <w:szCs w:val="21"/>
              </w:rPr>
            </w:pPr>
            <w:r>
              <w:rPr>
                <w:color w:val="000000"/>
                <w:kern w:val="0"/>
                <w:sz w:val="21"/>
                <w:szCs w:val="21"/>
                <w:lang w:bidi="ar"/>
              </w:rPr>
              <w:t>重点项目支出：部门（单位）年度预算安排的，与本部门履职和发展密切相关、具有明显社会和经济影响、党委政府关心或社会比较关注的项目支出总额。具体由被评价部门提出后经对口部门预算管理处审核确定。</w:t>
            </w:r>
          </w:p>
          <w:p>
            <w:pPr>
              <w:widowControl/>
              <w:spacing w:line="240" w:lineRule="auto"/>
              <w:ind w:firstLine="0" w:firstLineChars="0"/>
              <w:jc w:val="left"/>
              <w:textAlignment w:val="center"/>
              <w:rPr>
                <w:color w:val="000000"/>
                <w:sz w:val="21"/>
                <w:szCs w:val="21"/>
              </w:rPr>
            </w:pPr>
            <w:r>
              <w:rPr>
                <w:color w:val="000000"/>
                <w:kern w:val="0"/>
                <w:sz w:val="21"/>
                <w:szCs w:val="21"/>
                <w:lang w:bidi="ar"/>
              </w:rPr>
              <w:t>项目总支出：部门（单位）年度预算安排的项目支出总额。</w:t>
            </w:r>
          </w:p>
        </w:tc>
        <w:tc>
          <w:tcPr>
            <w:tcW w:w="2539" w:type="dxa"/>
            <w:tcBorders>
              <w:left w:val="single" w:color="auto" w:sz="4" w:space="0"/>
            </w:tcBorders>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w:t>
            </w:r>
            <w:r>
              <w:rPr>
                <w:rStyle w:val="41"/>
                <w:lang w:bidi="ar"/>
              </w:rPr>
              <w:t>≥70%</w:t>
            </w:r>
            <w:r>
              <w:rPr>
                <w:color w:val="000000"/>
                <w:kern w:val="0"/>
                <w:sz w:val="21"/>
                <w:szCs w:val="21"/>
                <w:lang w:bidi="ar"/>
              </w:rPr>
              <w:t>，以</w:t>
            </w:r>
            <w:r>
              <w:rPr>
                <w:rStyle w:val="41"/>
                <w:lang w:bidi="ar"/>
              </w:rPr>
              <w:t>3</w:t>
            </w:r>
            <w:r>
              <w:rPr>
                <w:color w:val="000000"/>
                <w:kern w:val="0"/>
                <w:sz w:val="21"/>
                <w:szCs w:val="21"/>
                <w:lang w:bidi="ar"/>
              </w:rPr>
              <w:t>分为上限，采用完成比率法计分：得分</w:t>
            </w:r>
            <w:r>
              <w:rPr>
                <w:rStyle w:val="41"/>
                <w:lang w:bidi="ar"/>
              </w:rPr>
              <w:t>=</w:t>
            </w:r>
            <w:r>
              <w:rPr>
                <w:color w:val="000000"/>
                <w:kern w:val="0"/>
                <w:sz w:val="21"/>
                <w:szCs w:val="21"/>
                <w:lang w:bidi="ar"/>
              </w:rPr>
              <w:t>重点支出安排率</w:t>
            </w:r>
            <w:r>
              <w:rPr>
                <w:rStyle w:val="41"/>
                <w:lang w:bidi="ar"/>
              </w:rPr>
              <w:t>/70%×100%×3</w:t>
            </w:r>
            <w:r>
              <w:rPr>
                <w:color w:val="000000"/>
                <w:kern w:val="0"/>
                <w:sz w:val="21"/>
                <w:szCs w:val="21"/>
                <w:lang w:bidi="ar"/>
              </w:rPr>
              <w:t>，超出目标值不加分。</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198" w:type="dxa"/>
            <w:vMerge w:val="restart"/>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B过程</w:t>
            </w:r>
          </w:p>
          <w:p>
            <w:pPr>
              <w:widowControl/>
              <w:spacing w:line="240" w:lineRule="auto"/>
              <w:ind w:firstLine="0" w:firstLineChars="0"/>
              <w:jc w:val="left"/>
              <w:textAlignment w:val="center"/>
              <w:rPr>
                <w:color w:val="000000"/>
                <w:sz w:val="21"/>
                <w:szCs w:val="21"/>
              </w:rPr>
            </w:pPr>
            <w:r>
              <w:rPr>
                <w:color w:val="000000"/>
                <w:kern w:val="0"/>
                <w:sz w:val="21"/>
                <w:szCs w:val="21"/>
                <w:lang w:bidi="ar"/>
              </w:rPr>
              <w:t>（</w:t>
            </w:r>
            <w:r>
              <w:rPr>
                <w:rStyle w:val="41"/>
                <w:lang w:bidi="ar"/>
              </w:rPr>
              <w:t>38</w:t>
            </w:r>
            <w:r>
              <w:rPr>
                <w:color w:val="000000"/>
                <w:kern w:val="0"/>
                <w:sz w:val="21"/>
                <w:szCs w:val="21"/>
                <w:lang w:bidi="ar"/>
              </w:rPr>
              <w:t>分）</w:t>
            </w:r>
          </w:p>
        </w:tc>
        <w:tc>
          <w:tcPr>
            <w:tcW w:w="1132"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B1预算执行</w:t>
            </w:r>
          </w:p>
        </w:tc>
        <w:tc>
          <w:tcPr>
            <w:tcW w:w="758" w:type="dxa"/>
            <w:vMerge w:val="restart"/>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18</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B11预算完成率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4</w:t>
            </w:r>
          </w:p>
        </w:tc>
        <w:tc>
          <w:tcPr>
            <w:tcW w:w="4657" w:type="dxa"/>
            <w:tcBorders>
              <w:top w:val="single" w:color="auto" w:sz="4" w:space="0"/>
            </w:tcBorders>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通过对部门本年度预算完成数与预算数的比较，反映和评价部门预算的完成程度。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预算完成率</w:t>
            </w:r>
            <w:r>
              <w:rPr>
                <w:rStyle w:val="41"/>
                <w:lang w:bidi="ar"/>
              </w:rPr>
              <w:t>=</w:t>
            </w:r>
            <w:r>
              <w:rPr>
                <w:color w:val="000000"/>
                <w:kern w:val="0"/>
                <w:sz w:val="21"/>
                <w:szCs w:val="21"/>
                <w:lang w:bidi="ar"/>
              </w:rPr>
              <w:t>（预算完成数</w:t>
            </w:r>
            <w:r>
              <w:rPr>
                <w:rStyle w:val="41"/>
                <w:lang w:bidi="ar"/>
              </w:rPr>
              <w:t>/</w:t>
            </w:r>
            <w:r>
              <w:rPr>
                <w:color w:val="000000"/>
                <w:kern w:val="0"/>
                <w:sz w:val="21"/>
                <w:szCs w:val="21"/>
                <w:lang w:bidi="ar"/>
              </w:rPr>
              <w:t>预算数）</w:t>
            </w:r>
            <w:r>
              <w:rPr>
                <w:rStyle w:val="41"/>
                <w:lang w:bidi="ar"/>
              </w:rPr>
              <w:t>×100%</w:t>
            </w:r>
            <w:r>
              <w:rPr>
                <w:color w:val="000000"/>
                <w:kern w:val="0"/>
                <w:sz w:val="21"/>
                <w:szCs w:val="21"/>
                <w:lang w:bidi="ar"/>
              </w:rPr>
              <w:t>。</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w:t>
            </w:r>
            <w:r>
              <w:rPr>
                <w:rStyle w:val="41"/>
                <w:lang w:bidi="ar"/>
              </w:rPr>
              <w:t>≥100%</w:t>
            </w:r>
            <w:r>
              <w:rPr>
                <w:color w:val="000000"/>
                <w:kern w:val="0"/>
                <w:sz w:val="21"/>
                <w:szCs w:val="21"/>
                <w:lang w:bidi="ar"/>
              </w:rPr>
              <w:t>，达到目标值得</w:t>
            </w:r>
            <w:r>
              <w:rPr>
                <w:rStyle w:val="41"/>
                <w:lang w:bidi="ar"/>
              </w:rPr>
              <w:t>4</w:t>
            </w:r>
            <w:r>
              <w:rPr>
                <w:color w:val="000000"/>
                <w:kern w:val="0"/>
                <w:sz w:val="21"/>
                <w:szCs w:val="21"/>
                <w:lang w:bidi="ar"/>
              </w:rPr>
              <w:t>分；</w:t>
            </w:r>
            <w:r>
              <w:rPr>
                <w:rStyle w:val="41"/>
                <w:lang w:bidi="ar"/>
              </w:rPr>
              <w:t>100%</w:t>
            </w:r>
            <w:r>
              <w:rPr>
                <w:color w:val="000000"/>
                <w:kern w:val="0"/>
                <w:sz w:val="21"/>
                <w:szCs w:val="21"/>
                <w:lang w:bidi="ar"/>
              </w:rPr>
              <w:t>＞结果</w:t>
            </w:r>
            <w:r>
              <w:rPr>
                <w:rStyle w:val="41"/>
                <w:lang w:bidi="ar"/>
              </w:rPr>
              <w:t>≥90%</w:t>
            </w:r>
            <w:r>
              <w:rPr>
                <w:color w:val="000000"/>
                <w:kern w:val="0"/>
                <w:sz w:val="21"/>
                <w:szCs w:val="21"/>
                <w:lang w:bidi="ar"/>
              </w:rPr>
              <w:t>，得</w:t>
            </w:r>
            <w:r>
              <w:rPr>
                <w:rStyle w:val="41"/>
                <w:lang w:bidi="ar"/>
              </w:rPr>
              <w:t>4</w:t>
            </w:r>
            <w:r>
              <w:rPr>
                <w:color w:val="000000"/>
                <w:kern w:val="0"/>
                <w:sz w:val="21"/>
                <w:szCs w:val="21"/>
                <w:lang w:bidi="ar"/>
              </w:rPr>
              <w:t>分；</w:t>
            </w:r>
            <w:r>
              <w:rPr>
                <w:rStyle w:val="41"/>
                <w:lang w:bidi="ar"/>
              </w:rPr>
              <w:t>90%</w:t>
            </w:r>
            <w:r>
              <w:rPr>
                <w:color w:val="000000"/>
                <w:kern w:val="0"/>
                <w:sz w:val="21"/>
                <w:szCs w:val="21"/>
                <w:lang w:bidi="ar"/>
              </w:rPr>
              <w:t>＞结果</w:t>
            </w:r>
            <w:r>
              <w:rPr>
                <w:rStyle w:val="41"/>
                <w:lang w:bidi="ar"/>
              </w:rPr>
              <w:t>≥80%</w:t>
            </w:r>
            <w:r>
              <w:rPr>
                <w:color w:val="000000"/>
                <w:kern w:val="0"/>
                <w:sz w:val="21"/>
                <w:szCs w:val="21"/>
                <w:lang w:bidi="ar"/>
              </w:rPr>
              <w:t>，得</w:t>
            </w:r>
            <w:r>
              <w:rPr>
                <w:rStyle w:val="41"/>
                <w:lang w:bidi="ar"/>
              </w:rPr>
              <w:t>3</w:t>
            </w:r>
            <w:r>
              <w:rPr>
                <w:color w:val="000000"/>
                <w:kern w:val="0"/>
                <w:sz w:val="21"/>
                <w:szCs w:val="21"/>
                <w:lang w:bidi="ar"/>
              </w:rPr>
              <w:t>分；结果＜</w:t>
            </w:r>
            <w:r>
              <w:rPr>
                <w:rStyle w:val="41"/>
                <w:lang w:bidi="ar"/>
              </w:rPr>
              <w:t>80%</w:t>
            </w:r>
            <w:r>
              <w:rPr>
                <w:color w:val="000000"/>
                <w:kern w:val="0"/>
                <w:sz w:val="21"/>
                <w:szCs w:val="21"/>
                <w:lang w:bidi="ar"/>
              </w:rPr>
              <w:t>，得</w:t>
            </w:r>
            <w:r>
              <w:rPr>
                <w:rStyle w:val="41"/>
                <w:lang w:bidi="ar"/>
              </w:rPr>
              <w:t>0</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B12预算调整率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部门（单位）本年度预算调整数与预算数的比率，用以反映和考核部门（单位）预算的调整程度。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预算调整率</w:t>
            </w:r>
            <w:r>
              <w:rPr>
                <w:rStyle w:val="41"/>
                <w:lang w:bidi="ar"/>
              </w:rPr>
              <w:t>=</w:t>
            </w:r>
            <w:r>
              <w:rPr>
                <w:color w:val="000000"/>
                <w:kern w:val="0"/>
                <w:sz w:val="21"/>
                <w:szCs w:val="21"/>
                <w:lang w:bidi="ar"/>
              </w:rPr>
              <w:t>（预算调整数</w:t>
            </w:r>
            <w:r>
              <w:rPr>
                <w:rStyle w:val="41"/>
                <w:lang w:bidi="ar"/>
              </w:rPr>
              <w:t>/</w:t>
            </w:r>
            <w:r>
              <w:rPr>
                <w:color w:val="000000"/>
                <w:kern w:val="0"/>
                <w:sz w:val="21"/>
                <w:szCs w:val="21"/>
                <w:lang w:bidi="ar"/>
              </w:rPr>
              <w:t>预算数）</w:t>
            </w:r>
            <w:r>
              <w:rPr>
                <w:rStyle w:val="41"/>
                <w:lang w:bidi="ar"/>
              </w:rPr>
              <w:t>×100%</w:t>
            </w:r>
            <w:r>
              <w:rPr>
                <w:color w:val="000000"/>
                <w:kern w:val="0"/>
                <w:sz w:val="21"/>
                <w:szCs w:val="21"/>
                <w:lang w:bidi="ar"/>
              </w:rPr>
              <w:t>。</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w:t>
            </w:r>
            <w:r>
              <w:rPr>
                <w:rStyle w:val="41"/>
                <w:lang w:bidi="ar"/>
              </w:rPr>
              <w:t>≥5%</w:t>
            </w:r>
            <w:r>
              <w:rPr>
                <w:color w:val="000000"/>
                <w:kern w:val="0"/>
                <w:sz w:val="21"/>
                <w:szCs w:val="21"/>
                <w:lang w:bidi="ar"/>
              </w:rPr>
              <w:t>，达到目标值得</w:t>
            </w:r>
            <w:r>
              <w:rPr>
                <w:rStyle w:val="41"/>
                <w:lang w:bidi="ar"/>
              </w:rPr>
              <w:t>3</w:t>
            </w:r>
            <w:r>
              <w:rPr>
                <w:color w:val="000000"/>
                <w:kern w:val="0"/>
                <w:sz w:val="21"/>
                <w:szCs w:val="21"/>
                <w:lang w:bidi="ar"/>
              </w:rPr>
              <w:t>分，未达到目标值的每增加</w:t>
            </w:r>
            <w:r>
              <w:rPr>
                <w:rStyle w:val="41"/>
                <w:lang w:bidi="ar"/>
              </w:rPr>
              <w:t>0.1</w:t>
            </w:r>
            <w:r>
              <w:rPr>
                <w:color w:val="000000"/>
                <w:kern w:val="0"/>
                <w:sz w:val="21"/>
                <w:szCs w:val="21"/>
                <w:lang w:bidi="ar"/>
              </w:rPr>
              <w:t>个百分点扣</w:t>
            </w:r>
            <w:r>
              <w:rPr>
                <w:rStyle w:val="41"/>
                <w:lang w:bidi="ar"/>
              </w:rPr>
              <w:t>0.1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B13结转结余率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通过对本部门年度结转结余总额支出与支出预算数的比较，反应和评价部门对本年度结转结余资金的实际控制程度。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结转结余率</w:t>
            </w:r>
            <w:r>
              <w:rPr>
                <w:rStyle w:val="41"/>
                <w:lang w:bidi="ar"/>
              </w:rPr>
              <w:t>=</w:t>
            </w:r>
            <w:r>
              <w:rPr>
                <w:color w:val="000000"/>
                <w:kern w:val="0"/>
                <w:sz w:val="21"/>
                <w:szCs w:val="21"/>
                <w:lang w:bidi="ar"/>
              </w:rPr>
              <w:t>（结转结余总额</w:t>
            </w:r>
            <w:r>
              <w:rPr>
                <w:rStyle w:val="41"/>
                <w:lang w:bidi="ar"/>
              </w:rPr>
              <w:t>/</w:t>
            </w:r>
            <w:r>
              <w:rPr>
                <w:color w:val="000000"/>
                <w:kern w:val="0"/>
                <w:sz w:val="21"/>
                <w:szCs w:val="21"/>
                <w:lang w:bidi="ar"/>
              </w:rPr>
              <w:t>支出预算数）</w:t>
            </w:r>
            <w:r>
              <w:rPr>
                <w:rStyle w:val="41"/>
                <w:lang w:bidi="ar"/>
              </w:rPr>
              <w:t>×100%</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目标值为</w:t>
            </w:r>
            <w:r>
              <w:rPr>
                <w:rStyle w:val="41"/>
                <w:lang w:bidi="ar"/>
              </w:rPr>
              <w:t>0</w:t>
            </w:r>
            <w:r>
              <w:rPr>
                <w:color w:val="000000"/>
                <w:kern w:val="0"/>
                <w:sz w:val="21"/>
                <w:szCs w:val="21"/>
                <w:lang w:bidi="ar"/>
              </w:rPr>
              <w:t>，达到目标值得</w:t>
            </w:r>
            <w:r>
              <w:rPr>
                <w:rStyle w:val="41"/>
                <w:lang w:bidi="ar"/>
              </w:rPr>
              <w:t>3</w:t>
            </w:r>
            <w:r>
              <w:rPr>
                <w:color w:val="000000"/>
                <w:kern w:val="0"/>
                <w:sz w:val="21"/>
                <w:szCs w:val="21"/>
                <w:lang w:bidi="ar"/>
              </w:rPr>
              <w:t>分，未达到目标值的每增加</w:t>
            </w:r>
            <w:r>
              <w:rPr>
                <w:rStyle w:val="41"/>
                <w:lang w:bidi="ar"/>
              </w:rPr>
              <w:t>0.1</w:t>
            </w:r>
            <w:r>
              <w:rPr>
                <w:color w:val="000000"/>
                <w:kern w:val="0"/>
                <w:sz w:val="21"/>
                <w:szCs w:val="21"/>
                <w:lang w:bidi="ar"/>
              </w:rPr>
              <w:t>个百分点扣</w:t>
            </w:r>
            <w:r>
              <w:rPr>
                <w:rStyle w:val="41"/>
                <w:lang w:bidi="ar"/>
              </w:rPr>
              <w:t>0.1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B14结转结余变动率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部门本年度结转结余资金总额与上年度结转结余资金总额的变动比率，用以反映和考核部门对控制结转结余资金的努力程度。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结转结余变动率</w:t>
            </w:r>
            <w:r>
              <w:rPr>
                <w:rStyle w:val="41"/>
                <w:lang w:bidi="ar"/>
              </w:rPr>
              <w:t>=[</w:t>
            </w:r>
            <w:r>
              <w:rPr>
                <w:color w:val="000000"/>
                <w:kern w:val="0"/>
                <w:sz w:val="21"/>
                <w:szCs w:val="21"/>
                <w:lang w:bidi="ar"/>
              </w:rPr>
              <w:t>（本年度累计结转结余资金总额</w:t>
            </w:r>
            <w:r>
              <w:rPr>
                <w:rStyle w:val="41"/>
                <w:lang w:bidi="ar"/>
              </w:rPr>
              <w:t>-</w:t>
            </w:r>
            <w:r>
              <w:rPr>
                <w:color w:val="000000"/>
                <w:kern w:val="0"/>
                <w:sz w:val="21"/>
                <w:szCs w:val="21"/>
                <w:lang w:bidi="ar"/>
              </w:rPr>
              <w:t>上年度累计结转结余资金总额）</w:t>
            </w:r>
            <w:r>
              <w:rPr>
                <w:rStyle w:val="41"/>
                <w:lang w:bidi="ar"/>
              </w:rPr>
              <w:t>/</w:t>
            </w:r>
            <w:r>
              <w:rPr>
                <w:color w:val="000000"/>
                <w:kern w:val="0"/>
                <w:sz w:val="21"/>
                <w:szCs w:val="21"/>
                <w:lang w:bidi="ar"/>
              </w:rPr>
              <w:t>上年度累计结转结余资金总额</w:t>
            </w:r>
            <w:r>
              <w:rPr>
                <w:rStyle w:val="41"/>
                <w:lang w:bidi="ar"/>
              </w:rPr>
              <w:t>]×100%</w:t>
            </w:r>
            <w:r>
              <w:rPr>
                <w:color w:val="000000"/>
                <w:kern w:val="0"/>
                <w:sz w:val="21"/>
                <w:szCs w:val="21"/>
                <w:lang w:bidi="ar"/>
              </w:rPr>
              <w:t>。</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w:t>
            </w:r>
            <w:r>
              <w:rPr>
                <w:rStyle w:val="41"/>
                <w:lang w:bidi="ar"/>
              </w:rPr>
              <w:t>≤0%</w:t>
            </w:r>
            <w:r>
              <w:rPr>
                <w:color w:val="000000"/>
                <w:kern w:val="0"/>
                <w:sz w:val="21"/>
                <w:szCs w:val="21"/>
                <w:lang w:bidi="ar"/>
              </w:rPr>
              <w:t>，达到目标值得</w:t>
            </w:r>
            <w:r>
              <w:rPr>
                <w:rStyle w:val="41"/>
                <w:lang w:bidi="ar"/>
              </w:rPr>
              <w:t>2</w:t>
            </w:r>
            <w:r>
              <w:rPr>
                <w:color w:val="000000"/>
                <w:kern w:val="0"/>
                <w:sz w:val="21"/>
                <w:szCs w:val="21"/>
                <w:lang w:bidi="ar"/>
              </w:rPr>
              <w:t>分，未达到目标值的采用比率扣分法；扣分值</w:t>
            </w:r>
            <w:r>
              <w:rPr>
                <w:rStyle w:val="41"/>
                <w:lang w:bidi="ar"/>
              </w:rPr>
              <w:t>=</w:t>
            </w:r>
            <w:r>
              <w:rPr>
                <w:color w:val="000000"/>
                <w:kern w:val="0"/>
                <w:sz w:val="21"/>
                <w:szCs w:val="21"/>
                <w:lang w:bidi="ar"/>
              </w:rPr>
              <w:t>结转结余变动率</w:t>
            </w:r>
            <w:r>
              <w:rPr>
                <w:rStyle w:val="41"/>
                <w:lang w:bidi="ar"/>
              </w:rPr>
              <w:t>×2×10</w:t>
            </w:r>
            <w:r>
              <w:rPr>
                <w:color w:val="000000"/>
                <w:kern w:val="0"/>
                <w:sz w:val="21"/>
                <w:szCs w:val="21"/>
                <w:lang w:bidi="ar"/>
              </w:rPr>
              <w:t>，变动率达</w:t>
            </w:r>
            <w:r>
              <w:rPr>
                <w:rStyle w:val="41"/>
                <w:lang w:bidi="ar"/>
              </w:rPr>
              <w:t>10%</w:t>
            </w:r>
            <w:r>
              <w:rPr>
                <w:color w:val="000000"/>
                <w:kern w:val="0"/>
                <w:sz w:val="21"/>
                <w:szCs w:val="21"/>
                <w:lang w:bidi="ar"/>
              </w:rPr>
              <w:t>以上的扣</w:t>
            </w:r>
            <w:r>
              <w:rPr>
                <w:rStyle w:val="41"/>
                <w:lang w:bidi="ar"/>
              </w:rPr>
              <w:t>2</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B15公用经费控制率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通过对部门本年度实际支出的公用经费总额与预算安排的公用经费总额的比率，反映和评价部门对机构运转成本的实际控制程度。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公用经费控制率</w:t>
            </w:r>
            <w:r>
              <w:rPr>
                <w:rStyle w:val="41"/>
                <w:lang w:bidi="ar"/>
              </w:rPr>
              <w:t>=</w:t>
            </w:r>
            <w:r>
              <w:rPr>
                <w:color w:val="000000"/>
                <w:kern w:val="0"/>
                <w:sz w:val="21"/>
                <w:szCs w:val="21"/>
                <w:lang w:bidi="ar"/>
              </w:rPr>
              <w:t>（实际支出公用经费总额</w:t>
            </w:r>
            <w:r>
              <w:rPr>
                <w:rStyle w:val="41"/>
                <w:lang w:bidi="ar"/>
              </w:rPr>
              <w:t>/</w:t>
            </w:r>
            <w:r>
              <w:rPr>
                <w:color w:val="000000"/>
                <w:kern w:val="0"/>
                <w:sz w:val="21"/>
                <w:szCs w:val="21"/>
                <w:lang w:bidi="ar"/>
              </w:rPr>
              <w:t>预算安排公用经费总额）</w:t>
            </w:r>
            <w:r>
              <w:rPr>
                <w:rStyle w:val="41"/>
                <w:lang w:bidi="ar"/>
              </w:rPr>
              <w:t>×100%</w:t>
            </w:r>
            <w:r>
              <w:rPr>
                <w:color w:val="000000"/>
                <w:kern w:val="0"/>
                <w:sz w:val="21"/>
                <w:szCs w:val="21"/>
                <w:lang w:bidi="ar"/>
              </w:rPr>
              <w:t>。（公用经费支出是指部门基本支出中的一般商品和服务支出。）</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目标值为</w:t>
            </w:r>
            <w:r>
              <w:rPr>
                <w:rStyle w:val="41"/>
                <w:lang w:bidi="ar"/>
              </w:rPr>
              <w:t>≤100%</w:t>
            </w:r>
            <w:r>
              <w:rPr>
                <w:color w:val="000000"/>
                <w:kern w:val="0"/>
                <w:sz w:val="21"/>
                <w:szCs w:val="21"/>
                <w:lang w:bidi="ar"/>
              </w:rPr>
              <w:t>；达到目标值得</w:t>
            </w:r>
            <w:r>
              <w:rPr>
                <w:rStyle w:val="41"/>
                <w:lang w:bidi="ar"/>
              </w:rPr>
              <w:t>2</w:t>
            </w:r>
            <w:r>
              <w:rPr>
                <w:color w:val="000000"/>
                <w:kern w:val="0"/>
                <w:sz w:val="21"/>
                <w:szCs w:val="21"/>
                <w:lang w:bidi="ar"/>
              </w:rPr>
              <w:t>分；</w:t>
            </w:r>
            <w:r>
              <w:rPr>
                <w:rFonts w:hint="eastAsia"/>
                <w:color w:val="000000"/>
                <w:kern w:val="0"/>
                <w:sz w:val="21"/>
                <w:szCs w:val="21"/>
                <w:lang w:bidi="ar"/>
              </w:rPr>
              <w:t>未</w:t>
            </w:r>
            <w:r>
              <w:rPr>
                <w:color w:val="000000"/>
                <w:kern w:val="0"/>
                <w:sz w:val="21"/>
                <w:szCs w:val="21"/>
                <w:lang w:bidi="ar"/>
              </w:rPr>
              <w:t>达到目标值的每增加</w:t>
            </w:r>
            <w:r>
              <w:rPr>
                <w:rStyle w:val="41"/>
                <w:lang w:bidi="ar"/>
              </w:rPr>
              <w:t>0.1</w:t>
            </w:r>
            <w:r>
              <w:rPr>
                <w:color w:val="000000"/>
                <w:kern w:val="0"/>
                <w:sz w:val="21"/>
                <w:szCs w:val="21"/>
                <w:lang w:bidi="ar"/>
              </w:rPr>
              <w:t>个百分点扣</w:t>
            </w:r>
            <w:r>
              <w:rPr>
                <w:rStyle w:val="41"/>
                <w:lang w:bidi="ar"/>
              </w:rPr>
              <w:t>0.1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B16“三公经费</w:t>
            </w:r>
            <w:r>
              <w:rPr>
                <w:rStyle w:val="41"/>
                <w:lang w:bidi="ar"/>
              </w:rPr>
              <w:t>”</w:t>
            </w:r>
            <w:r>
              <w:rPr>
                <w:color w:val="000000"/>
                <w:kern w:val="0"/>
                <w:sz w:val="21"/>
                <w:szCs w:val="21"/>
                <w:lang w:bidi="ar"/>
              </w:rPr>
              <w:t>控制率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部门本年度</w:t>
            </w:r>
            <w:r>
              <w:rPr>
                <w:rStyle w:val="41"/>
                <w:lang w:bidi="ar"/>
              </w:rPr>
              <w:t>“</w:t>
            </w:r>
            <w:r>
              <w:rPr>
                <w:color w:val="000000"/>
                <w:kern w:val="0"/>
                <w:sz w:val="21"/>
                <w:szCs w:val="21"/>
                <w:lang w:bidi="ar"/>
              </w:rPr>
              <w:t>三公经费</w:t>
            </w:r>
            <w:r>
              <w:rPr>
                <w:rStyle w:val="41"/>
                <w:lang w:bidi="ar"/>
              </w:rPr>
              <w:t>”</w:t>
            </w:r>
            <w:r>
              <w:rPr>
                <w:color w:val="000000"/>
                <w:kern w:val="0"/>
                <w:sz w:val="21"/>
                <w:szCs w:val="21"/>
                <w:lang w:bidi="ar"/>
              </w:rPr>
              <w:t>实际支出数与预算安排数的比率，用以反映和考核部门对</w:t>
            </w:r>
            <w:r>
              <w:rPr>
                <w:rStyle w:val="41"/>
                <w:lang w:bidi="ar"/>
              </w:rPr>
              <w:t>“</w:t>
            </w:r>
            <w:r>
              <w:rPr>
                <w:color w:val="000000"/>
                <w:kern w:val="0"/>
                <w:sz w:val="21"/>
                <w:szCs w:val="21"/>
                <w:lang w:bidi="ar"/>
              </w:rPr>
              <w:t>三公经费</w:t>
            </w:r>
            <w:r>
              <w:rPr>
                <w:rStyle w:val="41"/>
                <w:lang w:bidi="ar"/>
              </w:rPr>
              <w:t>”</w:t>
            </w:r>
            <w:r>
              <w:rPr>
                <w:color w:val="000000"/>
                <w:kern w:val="0"/>
                <w:sz w:val="21"/>
                <w:szCs w:val="21"/>
                <w:lang w:bidi="ar"/>
              </w:rPr>
              <w:t>的实际控制程度。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“三公经费</w:t>
            </w:r>
            <w:r>
              <w:rPr>
                <w:rStyle w:val="41"/>
                <w:lang w:bidi="ar"/>
              </w:rPr>
              <w:t>”</w:t>
            </w:r>
            <w:r>
              <w:rPr>
                <w:color w:val="000000"/>
                <w:kern w:val="0"/>
                <w:sz w:val="21"/>
                <w:szCs w:val="21"/>
                <w:lang w:bidi="ar"/>
              </w:rPr>
              <w:t>控制率</w:t>
            </w:r>
            <w:r>
              <w:rPr>
                <w:rStyle w:val="41"/>
                <w:lang w:bidi="ar"/>
              </w:rPr>
              <w:t>=</w:t>
            </w:r>
            <w:r>
              <w:rPr>
                <w:color w:val="000000"/>
                <w:kern w:val="0"/>
                <w:sz w:val="21"/>
                <w:szCs w:val="21"/>
                <w:lang w:bidi="ar"/>
              </w:rPr>
              <w:t>（</w:t>
            </w:r>
            <w:r>
              <w:rPr>
                <w:rStyle w:val="41"/>
                <w:lang w:bidi="ar"/>
              </w:rPr>
              <w:t>“</w:t>
            </w:r>
            <w:r>
              <w:rPr>
                <w:color w:val="000000"/>
                <w:kern w:val="0"/>
                <w:sz w:val="21"/>
                <w:szCs w:val="21"/>
                <w:lang w:bidi="ar"/>
              </w:rPr>
              <w:t>三公经费</w:t>
            </w:r>
            <w:r>
              <w:rPr>
                <w:rStyle w:val="41"/>
                <w:lang w:bidi="ar"/>
              </w:rPr>
              <w:t>”</w:t>
            </w:r>
            <w:r>
              <w:rPr>
                <w:color w:val="000000"/>
                <w:kern w:val="0"/>
                <w:sz w:val="21"/>
                <w:szCs w:val="21"/>
                <w:lang w:bidi="ar"/>
              </w:rPr>
              <w:t>实际支出数</w:t>
            </w:r>
            <w:r>
              <w:rPr>
                <w:rStyle w:val="41"/>
                <w:lang w:bidi="ar"/>
              </w:rPr>
              <w:t>/“</w:t>
            </w:r>
            <w:r>
              <w:rPr>
                <w:color w:val="000000"/>
                <w:kern w:val="0"/>
                <w:sz w:val="21"/>
                <w:szCs w:val="21"/>
                <w:lang w:bidi="ar"/>
              </w:rPr>
              <w:t>三公经费</w:t>
            </w:r>
            <w:r>
              <w:rPr>
                <w:rStyle w:val="41"/>
                <w:lang w:bidi="ar"/>
              </w:rPr>
              <w:t>”</w:t>
            </w:r>
            <w:r>
              <w:rPr>
                <w:color w:val="000000"/>
                <w:kern w:val="0"/>
                <w:sz w:val="21"/>
                <w:szCs w:val="21"/>
                <w:lang w:bidi="ar"/>
              </w:rPr>
              <w:t>预算安排数）</w:t>
            </w:r>
            <w:r>
              <w:rPr>
                <w:rStyle w:val="41"/>
                <w:lang w:bidi="ar"/>
              </w:rPr>
              <w:t>×100%</w:t>
            </w:r>
            <w:r>
              <w:rPr>
                <w:color w:val="000000"/>
                <w:kern w:val="0"/>
                <w:sz w:val="21"/>
                <w:szCs w:val="21"/>
                <w:lang w:bidi="ar"/>
              </w:rPr>
              <w:t>。</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目标值为</w:t>
            </w:r>
            <w:r>
              <w:rPr>
                <w:rStyle w:val="41"/>
                <w:lang w:bidi="ar"/>
              </w:rPr>
              <w:t>≤100%</w:t>
            </w:r>
            <w:r>
              <w:rPr>
                <w:color w:val="000000"/>
                <w:kern w:val="0"/>
                <w:sz w:val="21"/>
                <w:szCs w:val="21"/>
                <w:lang w:bidi="ar"/>
              </w:rPr>
              <w:t>；达到目标值得</w:t>
            </w:r>
            <w:r>
              <w:rPr>
                <w:rStyle w:val="41"/>
                <w:lang w:bidi="ar"/>
              </w:rPr>
              <w:t>2</w:t>
            </w:r>
            <w:r>
              <w:rPr>
                <w:color w:val="000000"/>
                <w:kern w:val="0"/>
                <w:sz w:val="21"/>
                <w:szCs w:val="21"/>
                <w:lang w:bidi="ar"/>
              </w:rPr>
              <w:t>分；</w:t>
            </w:r>
            <w:r>
              <w:rPr>
                <w:rFonts w:hint="eastAsia"/>
                <w:color w:val="000000"/>
                <w:kern w:val="0"/>
                <w:sz w:val="21"/>
                <w:szCs w:val="21"/>
                <w:lang w:bidi="ar"/>
              </w:rPr>
              <w:t>未</w:t>
            </w:r>
            <w:r>
              <w:rPr>
                <w:color w:val="000000"/>
                <w:kern w:val="0"/>
                <w:sz w:val="21"/>
                <w:szCs w:val="21"/>
                <w:lang w:bidi="ar"/>
              </w:rPr>
              <w:t>达到目标值的每增加</w:t>
            </w:r>
            <w:r>
              <w:rPr>
                <w:rStyle w:val="41"/>
                <w:lang w:bidi="ar"/>
              </w:rPr>
              <w:t>0.1</w:t>
            </w:r>
            <w:r>
              <w:rPr>
                <w:color w:val="000000"/>
                <w:kern w:val="0"/>
                <w:sz w:val="21"/>
                <w:szCs w:val="21"/>
                <w:lang w:bidi="ar"/>
              </w:rPr>
              <w:t>个百分点扣</w:t>
            </w:r>
            <w:r>
              <w:rPr>
                <w:rStyle w:val="41"/>
                <w:lang w:bidi="ar"/>
              </w:rPr>
              <w:t>0.1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B17政府采购执行率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通过对部门本年度实际政府采购预算项目个数与政府采购预算项目个数的比较，反映和考核部门政府采购预算执行情况。</w:t>
            </w:r>
          </w:p>
          <w:p>
            <w:pPr>
              <w:widowControl/>
              <w:spacing w:line="240" w:lineRule="auto"/>
              <w:ind w:firstLine="0" w:firstLineChars="0"/>
              <w:jc w:val="left"/>
              <w:textAlignment w:val="center"/>
              <w:rPr>
                <w:color w:val="000000"/>
                <w:sz w:val="21"/>
                <w:szCs w:val="21"/>
              </w:rPr>
            </w:pPr>
            <w:r>
              <w:rPr>
                <w:color w:val="000000"/>
                <w:kern w:val="0"/>
                <w:sz w:val="21"/>
                <w:szCs w:val="21"/>
                <w:lang w:bidi="ar"/>
              </w:rPr>
              <w:t>政府采购执行率</w:t>
            </w:r>
            <w:r>
              <w:rPr>
                <w:rStyle w:val="41"/>
                <w:lang w:bidi="ar"/>
              </w:rPr>
              <w:t>=</w:t>
            </w:r>
            <w:r>
              <w:rPr>
                <w:color w:val="000000"/>
                <w:kern w:val="0"/>
                <w:sz w:val="21"/>
                <w:szCs w:val="21"/>
                <w:lang w:bidi="ar"/>
              </w:rPr>
              <w:t>（实际政府采购金额</w:t>
            </w:r>
            <w:r>
              <w:rPr>
                <w:rStyle w:val="41"/>
                <w:lang w:bidi="ar"/>
              </w:rPr>
              <w:t>/</w:t>
            </w:r>
            <w:r>
              <w:rPr>
                <w:color w:val="000000"/>
                <w:kern w:val="0"/>
                <w:sz w:val="21"/>
                <w:szCs w:val="21"/>
                <w:lang w:bidi="ar"/>
              </w:rPr>
              <w:t>政府采购预算数）</w:t>
            </w:r>
            <w:r>
              <w:rPr>
                <w:rStyle w:val="41"/>
                <w:lang w:bidi="ar"/>
              </w:rPr>
              <w:t>×100%</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目标值为</w:t>
            </w:r>
            <w:r>
              <w:rPr>
                <w:rStyle w:val="41"/>
                <w:lang w:bidi="ar"/>
              </w:rPr>
              <w:t>100%</w:t>
            </w:r>
            <w:r>
              <w:rPr>
                <w:color w:val="000000"/>
                <w:kern w:val="0"/>
                <w:sz w:val="21"/>
                <w:szCs w:val="21"/>
                <w:lang w:bidi="ar"/>
              </w:rPr>
              <w:t>；以</w:t>
            </w:r>
            <w:r>
              <w:rPr>
                <w:rStyle w:val="41"/>
                <w:lang w:bidi="ar"/>
              </w:rPr>
              <w:t>2</w:t>
            </w:r>
            <w:r>
              <w:rPr>
                <w:color w:val="000000"/>
                <w:kern w:val="0"/>
                <w:sz w:val="21"/>
                <w:szCs w:val="21"/>
                <w:lang w:bidi="ar"/>
              </w:rPr>
              <w:t>分为上限，采用完成比率法计分，得分</w:t>
            </w:r>
            <w:r>
              <w:rPr>
                <w:rStyle w:val="41"/>
                <w:lang w:bidi="ar"/>
              </w:rPr>
              <w:t>=</w:t>
            </w:r>
            <w:r>
              <w:rPr>
                <w:color w:val="000000"/>
                <w:kern w:val="0"/>
                <w:sz w:val="21"/>
                <w:szCs w:val="21"/>
                <w:lang w:bidi="ar"/>
              </w:rPr>
              <w:t>政府采购执行率</w:t>
            </w:r>
            <w:r>
              <w:rPr>
                <w:rStyle w:val="41"/>
                <w:lang w:bidi="ar"/>
              </w:rPr>
              <w:t>×2</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B2预算管理</w:t>
            </w:r>
          </w:p>
        </w:tc>
        <w:tc>
          <w:tcPr>
            <w:tcW w:w="758" w:type="dxa"/>
            <w:vMerge w:val="restart"/>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12</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B21管理制度健全性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部门（单位）为加强预算管理、规范财务行为而制定的管理制度是否健全完整，用以反映和考核部门（单位）预算管理制度对完成主要职责或促进事业发展的保障情况。</w:t>
            </w:r>
          </w:p>
          <w:p>
            <w:pPr>
              <w:widowControl/>
              <w:spacing w:line="240" w:lineRule="auto"/>
              <w:ind w:firstLine="0" w:firstLineChars="0"/>
              <w:jc w:val="left"/>
              <w:textAlignment w:val="center"/>
              <w:rPr>
                <w:color w:val="000000"/>
                <w:sz w:val="21"/>
                <w:szCs w:val="21"/>
              </w:rPr>
            </w:pPr>
            <w:r>
              <w:rPr>
                <w:color w:val="000000"/>
                <w:kern w:val="0"/>
                <w:sz w:val="21"/>
                <w:szCs w:val="21"/>
                <w:lang w:bidi="ar"/>
              </w:rPr>
              <w:t>评价要点：</w:t>
            </w:r>
            <w:r>
              <w:rPr>
                <w:rStyle w:val="41"/>
                <w:lang w:bidi="ar"/>
              </w:rPr>
              <w:t>1.</w:t>
            </w:r>
            <w:r>
              <w:rPr>
                <w:color w:val="000000"/>
                <w:kern w:val="0"/>
                <w:sz w:val="21"/>
                <w:szCs w:val="21"/>
                <w:lang w:bidi="ar"/>
              </w:rPr>
              <w:t>是否已制定或具有预算资金管理办法、内部财务管理制度、会计核算制度等管理制度；</w:t>
            </w:r>
            <w:r>
              <w:rPr>
                <w:rStyle w:val="41"/>
                <w:lang w:bidi="ar"/>
              </w:rPr>
              <w:t>2.</w:t>
            </w:r>
            <w:r>
              <w:rPr>
                <w:color w:val="000000"/>
                <w:kern w:val="0"/>
                <w:sz w:val="21"/>
                <w:szCs w:val="21"/>
                <w:lang w:bidi="ar"/>
              </w:rPr>
              <w:t>相关管理制度是否合法、合规、完整；</w:t>
            </w:r>
            <w:r>
              <w:rPr>
                <w:rStyle w:val="41"/>
                <w:lang w:bidi="ar"/>
              </w:rPr>
              <w:t>3.</w:t>
            </w:r>
            <w:r>
              <w:rPr>
                <w:color w:val="000000"/>
                <w:kern w:val="0"/>
                <w:sz w:val="21"/>
                <w:szCs w:val="21"/>
                <w:lang w:bidi="ar"/>
              </w:rPr>
              <w:t>相关管理制度是否得到有效执行。</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全部符合（</w:t>
            </w:r>
            <w:r>
              <w:rPr>
                <w:rStyle w:val="41"/>
                <w:lang w:bidi="ar"/>
              </w:rPr>
              <w:t>3</w:t>
            </w:r>
            <w:r>
              <w:rPr>
                <w:color w:val="000000"/>
                <w:kern w:val="0"/>
                <w:sz w:val="21"/>
                <w:szCs w:val="21"/>
                <w:lang w:bidi="ar"/>
              </w:rPr>
              <w:t>分）；符合其中两项（</w:t>
            </w:r>
            <w:r>
              <w:rPr>
                <w:rStyle w:val="41"/>
                <w:lang w:bidi="ar"/>
              </w:rPr>
              <w:t>2</w:t>
            </w:r>
            <w:r>
              <w:rPr>
                <w:color w:val="000000"/>
                <w:kern w:val="0"/>
                <w:sz w:val="21"/>
                <w:szCs w:val="21"/>
                <w:lang w:bidi="ar"/>
              </w:rPr>
              <w:t>分）；符合其中一项（</w:t>
            </w:r>
            <w:r>
              <w:rPr>
                <w:rStyle w:val="41"/>
                <w:lang w:bidi="ar"/>
              </w:rPr>
              <w:t>1</w:t>
            </w:r>
            <w:r>
              <w:rPr>
                <w:color w:val="000000"/>
                <w:kern w:val="0"/>
                <w:sz w:val="21"/>
                <w:szCs w:val="21"/>
                <w:lang w:bidi="ar"/>
              </w:rPr>
              <w:t>分）；全部不符合（</w:t>
            </w:r>
            <w:r>
              <w:rPr>
                <w:rStyle w:val="41"/>
                <w:lang w:bidi="ar"/>
              </w:rPr>
              <w:t>0</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B22资金使用合规性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部门（单位）使用预算资金是否符合相关的预算财务管理制度的规定，用以反映和考核部门（单位）预算资金的规范运行情况。</w:t>
            </w:r>
          </w:p>
          <w:p>
            <w:pPr>
              <w:widowControl/>
              <w:spacing w:line="240" w:lineRule="auto"/>
              <w:ind w:firstLine="0" w:firstLineChars="0"/>
              <w:jc w:val="left"/>
              <w:textAlignment w:val="center"/>
              <w:rPr>
                <w:color w:val="000000"/>
                <w:sz w:val="21"/>
                <w:szCs w:val="21"/>
              </w:rPr>
            </w:pPr>
            <w:r>
              <w:rPr>
                <w:color w:val="000000"/>
                <w:kern w:val="0"/>
                <w:sz w:val="21"/>
                <w:szCs w:val="21"/>
                <w:lang w:bidi="ar"/>
              </w:rPr>
              <w:t>评价要点：</w:t>
            </w:r>
            <w:r>
              <w:rPr>
                <w:rStyle w:val="41"/>
                <w:lang w:bidi="ar"/>
              </w:rPr>
              <w:t>1.</w:t>
            </w:r>
            <w:r>
              <w:rPr>
                <w:color w:val="000000"/>
                <w:kern w:val="0"/>
                <w:sz w:val="21"/>
                <w:szCs w:val="21"/>
                <w:lang w:bidi="ar"/>
              </w:rPr>
              <w:t>符合国家财经法和财务管理制度规定以及有关部门资金管理办法的规定；</w:t>
            </w:r>
            <w:r>
              <w:rPr>
                <w:rStyle w:val="41"/>
                <w:lang w:bidi="ar"/>
              </w:rPr>
              <w:t>2.</w:t>
            </w:r>
            <w:r>
              <w:rPr>
                <w:color w:val="000000"/>
                <w:kern w:val="0"/>
                <w:sz w:val="21"/>
                <w:szCs w:val="21"/>
                <w:lang w:bidi="ar"/>
              </w:rPr>
              <w:t>资金的拨付有完整的审批过程和手续；</w:t>
            </w:r>
            <w:r>
              <w:rPr>
                <w:rStyle w:val="41"/>
                <w:lang w:bidi="ar"/>
              </w:rPr>
              <w:t>3.</w:t>
            </w:r>
            <w:r>
              <w:rPr>
                <w:color w:val="000000"/>
                <w:kern w:val="0"/>
                <w:sz w:val="21"/>
                <w:szCs w:val="21"/>
                <w:lang w:bidi="ar"/>
              </w:rPr>
              <w:t>项目的重大开支经过评估论证；</w:t>
            </w:r>
            <w:r>
              <w:rPr>
                <w:rStyle w:val="41"/>
                <w:lang w:bidi="ar"/>
              </w:rPr>
              <w:t>4.</w:t>
            </w:r>
            <w:r>
              <w:rPr>
                <w:color w:val="000000"/>
                <w:kern w:val="0"/>
                <w:sz w:val="21"/>
                <w:szCs w:val="21"/>
                <w:lang w:bidi="ar"/>
              </w:rPr>
              <w:t>符合部门预算批复的用途；</w:t>
            </w:r>
            <w:r>
              <w:rPr>
                <w:rStyle w:val="41"/>
                <w:lang w:bidi="ar"/>
              </w:rPr>
              <w:t>5.</w:t>
            </w:r>
            <w:r>
              <w:rPr>
                <w:color w:val="000000"/>
                <w:kern w:val="0"/>
                <w:sz w:val="21"/>
                <w:szCs w:val="21"/>
                <w:lang w:bidi="ar"/>
              </w:rPr>
              <w:t>不存在截留、挤占、挪用、虚列支出等情况。</w:t>
            </w:r>
          </w:p>
        </w:tc>
        <w:tc>
          <w:tcPr>
            <w:tcW w:w="2539"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全部符合（</w:t>
            </w:r>
            <w:r>
              <w:rPr>
                <w:rStyle w:val="41"/>
                <w:lang w:bidi="ar"/>
              </w:rPr>
              <w:t>5</w:t>
            </w:r>
            <w:r>
              <w:rPr>
                <w:color w:val="000000"/>
                <w:kern w:val="0"/>
                <w:sz w:val="21"/>
                <w:szCs w:val="21"/>
                <w:lang w:bidi="ar"/>
              </w:rPr>
              <w:t>分）；符合其中四项（</w:t>
            </w:r>
            <w:r>
              <w:rPr>
                <w:rStyle w:val="41"/>
                <w:lang w:bidi="ar"/>
              </w:rPr>
              <w:t>4</w:t>
            </w:r>
            <w:r>
              <w:rPr>
                <w:color w:val="000000"/>
                <w:kern w:val="0"/>
                <w:sz w:val="21"/>
                <w:szCs w:val="21"/>
                <w:lang w:bidi="ar"/>
              </w:rPr>
              <w:t>分）；符合其中三项（</w:t>
            </w:r>
            <w:r>
              <w:rPr>
                <w:rStyle w:val="41"/>
                <w:lang w:bidi="ar"/>
              </w:rPr>
              <w:t>3</w:t>
            </w:r>
            <w:r>
              <w:rPr>
                <w:color w:val="000000"/>
                <w:kern w:val="0"/>
                <w:sz w:val="21"/>
                <w:szCs w:val="21"/>
                <w:lang w:bidi="ar"/>
              </w:rPr>
              <w:t>分）；符合其中两项（</w:t>
            </w:r>
            <w:r>
              <w:rPr>
                <w:rStyle w:val="41"/>
                <w:lang w:bidi="ar"/>
              </w:rPr>
              <w:t>2</w:t>
            </w:r>
            <w:r>
              <w:rPr>
                <w:color w:val="000000"/>
                <w:kern w:val="0"/>
                <w:sz w:val="21"/>
                <w:szCs w:val="21"/>
                <w:lang w:bidi="ar"/>
              </w:rPr>
              <w:t>分）；符合其中一项（</w:t>
            </w:r>
            <w:r>
              <w:rPr>
                <w:rStyle w:val="41"/>
                <w:lang w:bidi="ar"/>
              </w:rPr>
              <w:t>1</w:t>
            </w:r>
            <w:r>
              <w:rPr>
                <w:color w:val="000000"/>
                <w:kern w:val="0"/>
                <w:sz w:val="21"/>
                <w:szCs w:val="21"/>
                <w:lang w:bidi="ar"/>
              </w:rPr>
              <w:t>分）；</w:t>
            </w:r>
          </w:p>
          <w:p>
            <w:pPr>
              <w:widowControl/>
              <w:spacing w:line="240" w:lineRule="auto"/>
              <w:ind w:firstLine="0" w:firstLineChars="0"/>
              <w:jc w:val="left"/>
              <w:textAlignment w:val="center"/>
              <w:rPr>
                <w:color w:val="000000"/>
                <w:sz w:val="21"/>
                <w:szCs w:val="21"/>
              </w:rPr>
            </w:pPr>
            <w:r>
              <w:rPr>
                <w:color w:val="000000"/>
                <w:kern w:val="0"/>
                <w:sz w:val="21"/>
                <w:szCs w:val="21"/>
                <w:lang w:bidi="ar"/>
              </w:rPr>
              <w:t>全部不符合（</w:t>
            </w:r>
            <w:r>
              <w:rPr>
                <w:rStyle w:val="41"/>
                <w:lang w:bidi="ar"/>
              </w:rPr>
              <w:t>0</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B23预决算信息公开性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4</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部门是否按照政府信息公开有关规定公开相关预决算信息，用以反映和评价部门预决算管理的公开透明情况。</w:t>
            </w:r>
          </w:p>
          <w:p>
            <w:pPr>
              <w:widowControl/>
              <w:spacing w:line="240" w:lineRule="auto"/>
              <w:ind w:firstLine="0" w:firstLineChars="0"/>
              <w:jc w:val="left"/>
              <w:textAlignment w:val="center"/>
              <w:rPr>
                <w:color w:val="000000"/>
                <w:sz w:val="21"/>
                <w:szCs w:val="21"/>
              </w:rPr>
            </w:pPr>
            <w:r>
              <w:rPr>
                <w:color w:val="000000"/>
                <w:kern w:val="0"/>
                <w:sz w:val="21"/>
                <w:szCs w:val="21"/>
                <w:lang w:bidi="ar"/>
              </w:rPr>
              <w:t>预决算信息是指与部门预算、执行、决算、监督、绩效等管理相关的信息。</w:t>
            </w:r>
          </w:p>
          <w:p>
            <w:pPr>
              <w:widowControl/>
              <w:spacing w:line="240" w:lineRule="auto"/>
              <w:ind w:firstLine="0" w:firstLineChars="0"/>
              <w:jc w:val="left"/>
              <w:textAlignment w:val="center"/>
              <w:rPr>
                <w:color w:val="000000"/>
                <w:sz w:val="21"/>
                <w:szCs w:val="21"/>
              </w:rPr>
            </w:pPr>
            <w:r>
              <w:rPr>
                <w:color w:val="000000"/>
                <w:kern w:val="0"/>
                <w:sz w:val="21"/>
                <w:szCs w:val="21"/>
                <w:lang w:bidi="ar"/>
              </w:rPr>
              <w:t>评价要点：</w:t>
            </w:r>
            <w:r>
              <w:rPr>
                <w:rStyle w:val="41"/>
                <w:lang w:bidi="ar"/>
              </w:rPr>
              <w:t>1.</w:t>
            </w:r>
            <w:r>
              <w:rPr>
                <w:color w:val="000000"/>
                <w:kern w:val="0"/>
                <w:sz w:val="21"/>
                <w:szCs w:val="21"/>
                <w:lang w:bidi="ar"/>
              </w:rPr>
              <w:t>公开预决算信息；</w:t>
            </w:r>
            <w:r>
              <w:rPr>
                <w:rStyle w:val="41"/>
                <w:lang w:bidi="ar"/>
              </w:rPr>
              <w:t>2.</w:t>
            </w:r>
            <w:r>
              <w:rPr>
                <w:color w:val="000000"/>
                <w:kern w:val="0"/>
                <w:sz w:val="21"/>
                <w:szCs w:val="21"/>
                <w:lang w:bidi="ar"/>
              </w:rPr>
              <w:t>按规定内容公开预决算信息；</w:t>
            </w:r>
            <w:r>
              <w:rPr>
                <w:rStyle w:val="41"/>
                <w:lang w:bidi="ar"/>
              </w:rPr>
              <w:t>3.</w:t>
            </w:r>
            <w:r>
              <w:rPr>
                <w:color w:val="000000"/>
                <w:kern w:val="0"/>
                <w:sz w:val="21"/>
                <w:szCs w:val="21"/>
                <w:lang w:bidi="ar"/>
              </w:rPr>
              <w:t>按规定时限公开预决算信息；</w:t>
            </w:r>
            <w:r>
              <w:rPr>
                <w:rStyle w:val="41"/>
                <w:lang w:bidi="ar"/>
              </w:rPr>
              <w:t>4.</w:t>
            </w:r>
            <w:r>
              <w:rPr>
                <w:color w:val="000000"/>
                <w:kern w:val="0"/>
                <w:sz w:val="21"/>
                <w:szCs w:val="21"/>
                <w:lang w:bidi="ar"/>
              </w:rPr>
              <w:t>公开预决算信息准确、完整。</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全部符合（</w:t>
            </w:r>
            <w:r>
              <w:rPr>
                <w:rStyle w:val="41"/>
                <w:lang w:bidi="ar"/>
              </w:rPr>
              <w:t>4</w:t>
            </w:r>
            <w:r>
              <w:rPr>
                <w:color w:val="000000"/>
                <w:kern w:val="0"/>
                <w:sz w:val="21"/>
                <w:szCs w:val="21"/>
                <w:lang w:bidi="ar"/>
              </w:rPr>
              <w:t>分）；符合其中三项（</w:t>
            </w:r>
            <w:r>
              <w:rPr>
                <w:rStyle w:val="41"/>
                <w:lang w:bidi="ar"/>
              </w:rPr>
              <w:t>3</w:t>
            </w:r>
            <w:r>
              <w:rPr>
                <w:color w:val="000000"/>
                <w:kern w:val="0"/>
                <w:sz w:val="21"/>
                <w:szCs w:val="21"/>
                <w:lang w:bidi="ar"/>
              </w:rPr>
              <w:t>分）符合其中两项（</w:t>
            </w:r>
            <w:r>
              <w:rPr>
                <w:rStyle w:val="41"/>
                <w:lang w:bidi="ar"/>
              </w:rPr>
              <w:t>2</w:t>
            </w:r>
            <w:r>
              <w:rPr>
                <w:color w:val="000000"/>
                <w:kern w:val="0"/>
                <w:sz w:val="21"/>
                <w:szCs w:val="21"/>
                <w:lang w:bidi="ar"/>
              </w:rPr>
              <w:t>分）；符合其中一项（</w:t>
            </w:r>
            <w:r>
              <w:rPr>
                <w:rStyle w:val="41"/>
                <w:lang w:bidi="ar"/>
              </w:rPr>
              <w:t>1</w:t>
            </w:r>
            <w:r>
              <w:rPr>
                <w:color w:val="000000"/>
                <w:kern w:val="0"/>
                <w:sz w:val="21"/>
                <w:szCs w:val="21"/>
                <w:lang w:bidi="ar"/>
              </w:rPr>
              <w:t>分）；全部不符合（</w:t>
            </w:r>
            <w:r>
              <w:rPr>
                <w:rStyle w:val="41"/>
                <w:lang w:bidi="ar"/>
              </w:rPr>
              <w:t>0</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B3资产管理</w:t>
            </w:r>
          </w:p>
        </w:tc>
        <w:tc>
          <w:tcPr>
            <w:tcW w:w="758" w:type="dxa"/>
            <w:vMerge w:val="restart"/>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8</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B31资产管理制度健全性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部门（单位）为加强资产管理、规范资产管理行为而制定的管理制度是否健全完整，用以反映和考核部门（单位）资产管理制度对完成主要职责或促进社会发展的保障情况。</w:t>
            </w:r>
          </w:p>
          <w:p>
            <w:pPr>
              <w:widowControl/>
              <w:spacing w:line="240" w:lineRule="auto"/>
              <w:ind w:firstLine="0" w:firstLineChars="0"/>
              <w:jc w:val="left"/>
              <w:textAlignment w:val="center"/>
              <w:rPr>
                <w:color w:val="000000"/>
                <w:sz w:val="21"/>
                <w:szCs w:val="21"/>
              </w:rPr>
            </w:pPr>
            <w:r>
              <w:rPr>
                <w:color w:val="000000"/>
                <w:kern w:val="0"/>
                <w:sz w:val="21"/>
                <w:szCs w:val="21"/>
                <w:lang w:bidi="ar"/>
              </w:rPr>
              <w:t>评价要点：</w:t>
            </w:r>
            <w:r>
              <w:rPr>
                <w:rStyle w:val="41"/>
                <w:lang w:bidi="ar"/>
              </w:rPr>
              <w:t>1.</w:t>
            </w:r>
            <w:r>
              <w:rPr>
                <w:color w:val="000000"/>
                <w:kern w:val="0"/>
                <w:sz w:val="21"/>
                <w:szCs w:val="21"/>
                <w:lang w:bidi="ar"/>
              </w:rPr>
              <w:t>是否已制定或具有资产管理制度；</w:t>
            </w:r>
            <w:r>
              <w:rPr>
                <w:rStyle w:val="41"/>
                <w:lang w:bidi="ar"/>
              </w:rPr>
              <w:t>2.</w:t>
            </w:r>
            <w:r>
              <w:rPr>
                <w:color w:val="000000"/>
                <w:kern w:val="0"/>
                <w:sz w:val="21"/>
                <w:szCs w:val="21"/>
                <w:lang w:bidi="ar"/>
              </w:rPr>
              <w:t>相关资金管理制度是否合法、合规、完整；</w:t>
            </w:r>
            <w:r>
              <w:rPr>
                <w:rStyle w:val="41"/>
                <w:lang w:bidi="ar"/>
              </w:rPr>
              <w:t>3.</w:t>
            </w:r>
            <w:r>
              <w:rPr>
                <w:color w:val="000000"/>
                <w:kern w:val="0"/>
                <w:sz w:val="21"/>
                <w:szCs w:val="21"/>
                <w:lang w:bidi="ar"/>
              </w:rPr>
              <w:t>相关资产管理制度是否得到有效执行。</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 全部符合（</w:t>
            </w:r>
            <w:r>
              <w:rPr>
                <w:rStyle w:val="41"/>
                <w:lang w:bidi="ar"/>
              </w:rPr>
              <w:t>3</w:t>
            </w:r>
            <w:r>
              <w:rPr>
                <w:color w:val="000000"/>
                <w:kern w:val="0"/>
                <w:sz w:val="21"/>
                <w:szCs w:val="21"/>
                <w:lang w:bidi="ar"/>
              </w:rPr>
              <w:t>分）；符合其中两项（</w:t>
            </w:r>
            <w:r>
              <w:rPr>
                <w:rStyle w:val="41"/>
                <w:lang w:bidi="ar"/>
              </w:rPr>
              <w:t>2</w:t>
            </w:r>
            <w:r>
              <w:rPr>
                <w:color w:val="000000"/>
                <w:kern w:val="0"/>
                <w:sz w:val="21"/>
                <w:szCs w:val="21"/>
                <w:lang w:bidi="ar"/>
              </w:rPr>
              <w:t>分）；符合其中一项（</w:t>
            </w:r>
            <w:r>
              <w:rPr>
                <w:rStyle w:val="41"/>
                <w:lang w:bidi="ar"/>
              </w:rPr>
              <w:t>1</w:t>
            </w:r>
            <w:r>
              <w:rPr>
                <w:color w:val="000000"/>
                <w:kern w:val="0"/>
                <w:sz w:val="21"/>
                <w:szCs w:val="21"/>
                <w:lang w:bidi="ar"/>
              </w:rPr>
              <w:t>分）；全部不符合（</w:t>
            </w:r>
            <w:r>
              <w:rPr>
                <w:rStyle w:val="41"/>
                <w:lang w:bidi="ar"/>
              </w:rPr>
              <w:t>0</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B32资产管理完全性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部门的资产是否保存完整、使用合规、收入及时足额上缴，用以反映和评价部门资产运行情况。</w:t>
            </w:r>
          </w:p>
          <w:p>
            <w:pPr>
              <w:widowControl/>
              <w:spacing w:line="240" w:lineRule="auto"/>
              <w:ind w:firstLine="0" w:firstLineChars="0"/>
              <w:jc w:val="left"/>
              <w:textAlignment w:val="center"/>
              <w:rPr>
                <w:color w:val="000000"/>
                <w:sz w:val="21"/>
                <w:szCs w:val="21"/>
              </w:rPr>
            </w:pPr>
            <w:r>
              <w:rPr>
                <w:color w:val="000000"/>
                <w:kern w:val="0"/>
                <w:sz w:val="21"/>
                <w:szCs w:val="21"/>
                <w:lang w:bidi="ar"/>
              </w:rPr>
              <w:t>评价要点：</w:t>
            </w:r>
            <w:r>
              <w:rPr>
                <w:rStyle w:val="41"/>
                <w:lang w:bidi="ar"/>
              </w:rPr>
              <w:t>1.</w:t>
            </w:r>
            <w:r>
              <w:rPr>
                <w:color w:val="000000"/>
                <w:kern w:val="0"/>
                <w:sz w:val="21"/>
                <w:szCs w:val="21"/>
                <w:lang w:bidi="ar"/>
              </w:rPr>
              <w:t>资产保存完整；</w:t>
            </w:r>
            <w:r>
              <w:rPr>
                <w:rStyle w:val="41"/>
                <w:lang w:bidi="ar"/>
              </w:rPr>
              <w:t>2.</w:t>
            </w:r>
            <w:r>
              <w:rPr>
                <w:color w:val="000000"/>
                <w:kern w:val="0"/>
                <w:sz w:val="21"/>
                <w:szCs w:val="21"/>
                <w:lang w:bidi="ar"/>
              </w:rPr>
              <w:t>资产账务管理是否合规，账实相符；</w:t>
            </w:r>
            <w:r>
              <w:rPr>
                <w:rStyle w:val="41"/>
                <w:lang w:bidi="ar"/>
              </w:rPr>
              <w:t>3.</w:t>
            </w:r>
            <w:r>
              <w:rPr>
                <w:color w:val="000000"/>
                <w:kern w:val="0"/>
                <w:sz w:val="21"/>
                <w:szCs w:val="21"/>
                <w:lang w:bidi="ar"/>
              </w:rPr>
              <w:t>资产有偿使用及处置收入及时足额上缴。</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全部符合（</w:t>
            </w:r>
            <w:r>
              <w:rPr>
                <w:rStyle w:val="41"/>
                <w:lang w:bidi="ar"/>
              </w:rPr>
              <w:t>3</w:t>
            </w:r>
            <w:r>
              <w:rPr>
                <w:color w:val="000000"/>
                <w:kern w:val="0"/>
                <w:sz w:val="21"/>
                <w:szCs w:val="21"/>
                <w:lang w:bidi="ar"/>
              </w:rPr>
              <w:t>分）；符合其中两项（</w:t>
            </w:r>
            <w:r>
              <w:rPr>
                <w:rStyle w:val="41"/>
                <w:lang w:bidi="ar"/>
              </w:rPr>
              <w:t>2</w:t>
            </w:r>
            <w:r>
              <w:rPr>
                <w:color w:val="000000"/>
                <w:kern w:val="0"/>
                <w:sz w:val="21"/>
                <w:szCs w:val="21"/>
                <w:lang w:bidi="ar"/>
              </w:rPr>
              <w:t>分）；符合其中一项（</w:t>
            </w:r>
            <w:r>
              <w:rPr>
                <w:rStyle w:val="41"/>
                <w:lang w:bidi="ar"/>
              </w:rPr>
              <w:t>1</w:t>
            </w:r>
            <w:r>
              <w:rPr>
                <w:color w:val="000000"/>
                <w:kern w:val="0"/>
                <w:sz w:val="21"/>
                <w:szCs w:val="21"/>
                <w:lang w:bidi="ar"/>
              </w:rPr>
              <w:t>分）；全部不符合（</w:t>
            </w:r>
            <w:r>
              <w:rPr>
                <w:rStyle w:val="41"/>
                <w:lang w:bidi="ar"/>
              </w:rPr>
              <w:t>0</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B33固定资产利用率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部门（单位）实际在用固定资产总额与所有固定资产总额的比率，用以反映和考核部门（单位）固定资产使用效率。</w:t>
            </w:r>
          </w:p>
          <w:p>
            <w:pPr>
              <w:widowControl/>
              <w:spacing w:line="240" w:lineRule="auto"/>
              <w:ind w:firstLine="0" w:firstLineChars="0"/>
              <w:jc w:val="left"/>
              <w:textAlignment w:val="center"/>
              <w:rPr>
                <w:color w:val="000000"/>
                <w:sz w:val="21"/>
                <w:szCs w:val="21"/>
              </w:rPr>
            </w:pPr>
            <w:r>
              <w:rPr>
                <w:color w:val="000000"/>
                <w:kern w:val="0"/>
                <w:sz w:val="21"/>
                <w:szCs w:val="21"/>
                <w:lang w:bidi="ar"/>
              </w:rPr>
              <w:t>固定资产利用率</w:t>
            </w:r>
            <w:r>
              <w:rPr>
                <w:rStyle w:val="41"/>
                <w:lang w:bidi="ar"/>
              </w:rPr>
              <w:t>=</w:t>
            </w:r>
            <w:r>
              <w:rPr>
                <w:color w:val="000000"/>
                <w:kern w:val="0"/>
                <w:sz w:val="21"/>
                <w:szCs w:val="21"/>
                <w:lang w:bidi="ar"/>
              </w:rPr>
              <w:t>（实际在用固定资产总额</w:t>
            </w:r>
            <w:r>
              <w:rPr>
                <w:rStyle w:val="41"/>
                <w:lang w:bidi="ar"/>
              </w:rPr>
              <w:t>/</w:t>
            </w:r>
            <w:r>
              <w:rPr>
                <w:color w:val="000000"/>
                <w:kern w:val="0"/>
                <w:sz w:val="21"/>
                <w:szCs w:val="21"/>
                <w:lang w:bidi="ar"/>
              </w:rPr>
              <w:t>所有固定资产总额）</w:t>
            </w:r>
            <w:r>
              <w:rPr>
                <w:rStyle w:val="41"/>
                <w:lang w:bidi="ar"/>
              </w:rPr>
              <w:t>×100%</w:t>
            </w:r>
            <w:r>
              <w:rPr>
                <w:color w:val="000000"/>
                <w:kern w:val="0"/>
                <w:sz w:val="21"/>
                <w:szCs w:val="21"/>
                <w:lang w:bidi="ar"/>
              </w:rPr>
              <w:t>。</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目标值为</w:t>
            </w:r>
            <w:r>
              <w:rPr>
                <w:rStyle w:val="41"/>
                <w:lang w:bidi="ar"/>
              </w:rPr>
              <w:t>80%</w:t>
            </w:r>
            <w:r>
              <w:rPr>
                <w:color w:val="000000"/>
                <w:kern w:val="0"/>
                <w:sz w:val="21"/>
                <w:szCs w:val="21"/>
                <w:lang w:bidi="ar"/>
              </w:rPr>
              <w:t>；以</w:t>
            </w:r>
            <w:r>
              <w:rPr>
                <w:rStyle w:val="41"/>
                <w:lang w:bidi="ar"/>
              </w:rPr>
              <w:t>3</w:t>
            </w:r>
            <w:r>
              <w:rPr>
                <w:color w:val="000000"/>
                <w:kern w:val="0"/>
                <w:sz w:val="21"/>
                <w:szCs w:val="21"/>
                <w:lang w:bidi="ar"/>
              </w:rPr>
              <w:t>分为上限，采用完成比率计分；得分</w:t>
            </w:r>
            <w:r>
              <w:rPr>
                <w:rStyle w:val="41"/>
                <w:lang w:bidi="ar"/>
              </w:rPr>
              <w:t>=</w:t>
            </w:r>
            <w:r>
              <w:rPr>
                <w:color w:val="000000"/>
                <w:kern w:val="0"/>
                <w:sz w:val="21"/>
                <w:szCs w:val="21"/>
                <w:lang w:bidi="ar"/>
              </w:rPr>
              <w:t>固定资产利用率</w:t>
            </w:r>
            <w:r>
              <w:rPr>
                <w:rStyle w:val="41"/>
                <w:lang w:bidi="ar"/>
              </w:rPr>
              <w:t>/80%×100%×3</w:t>
            </w:r>
            <w:r>
              <w:rPr>
                <w:color w:val="000000"/>
                <w:kern w:val="0"/>
                <w:sz w:val="21"/>
                <w:szCs w:val="21"/>
                <w:lang w:bidi="ar"/>
              </w:rPr>
              <w:t>，超出目标值不加分。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C产出及效益</w:t>
            </w:r>
          </w:p>
        </w:tc>
        <w:tc>
          <w:tcPr>
            <w:tcW w:w="1132"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C1产出</w:t>
            </w:r>
          </w:p>
        </w:tc>
        <w:tc>
          <w:tcPr>
            <w:tcW w:w="758" w:type="dxa"/>
            <w:vMerge w:val="restart"/>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25</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C11法治建设</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对比</w:t>
            </w:r>
            <w:r>
              <w:rPr>
                <w:rStyle w:val="41"/>
                <w:lang w:bidi="ar"/>
              </w:rPr>
              <w:t>2021</w:t>
            </w:r>
            <w:r>
              <w:rPr>
                <w:color w:val="000000"/>
                <w:kern w:val="0"/>
                <w:sz w:val="21"/>
                <w:szCs w:val="21"/>
                <w:lang w:bidi="ar"/>
              </w:rPr>
              <w:t>年工作计划，考察柞水县司法局</w:t>
            </w:r>
            <w:r>
              <w:rPr>
                <w:rStyle w:val="41"/>
                <w:lang w:bidi="ar"/>
              </w:rPr>
              <w:t>2021</w:t>
            </w:r>
            <w:r>
              <w:rPr>
                <w:color w:val="000000"/>
                <w:kern w:val="0"/>
                <w:sz w:val="21"/>
                <w:szCs w:val="21"/>
                <w:lang w:bidi="ar"/>
              </w:rPr>
              <w:t>年在法治建设工作上的完成情况。</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结合柞水县司法局</w:t>
            </w:r>
            <w:r>
              <w:rPr>
                <w:rStyle w:val="41"/>
                <w:lang w:bidi="ar"/>
              </w:rPr>
              <w:t>2021</w:t>
            </w:r>
            <w:r>
              <w:rPr>
                <w:color w:val="000000"/>
                <w:kern w:val="0"/>
                <w:sz w:val="21"/>
                <w:szCs w:val="21"/>
                <w:lang w:bidi="ar"/>
              </w:rPr>
              <w:t>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C12行政执法</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对比</w:t>
            </w:r>
            <w:r>
              <w:rPr>
                <w:rStyle w:val="41"/>
                <w:lang w:bidi="ar"/>
              </w:rPr>
              <w:t>2021</w:t>
            </w:r>
            <w:r>
              <w:rPr>
                <w:color w:val="000000"/>
                <w:kern w:val="0"/>
                <w:sz w:val="21"/>
                <w:szCs w:val="21"/>
                <w:lang w:bidi="ar"/>
              </w:rPr>
              <w:t>年工作计划，考察柞水县司法局</w:t>
            </w:r>
            <w:r>
              <w:rPr>
                <w:rStyle w:val="41"/>
                <w:lang w:bidi="ar"/>
              </w:rPr>
              <w:t>2021</w:t>
            </w:r>
            <w:r>
              <w:rPr>
                <w:color w:val="000000"/>
                <w:kern w:val="0"/>
                <w:sz w:val="21"/>
                <w:szCs w:val="21"/>
                <w:lang w:bidi="ar"/>
              </w:rPr>
              <w:t>年在行政执法工作上的完成情况。</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结合柞水县司法局</w:t>
            </w:r>
            <w:r>
              <w:rPr>
                <w:rStyle w:val="41"/>
                <w:lang w:bidi="ar"/>
              </w:rPr>
              <w:t>2021</w:t>
            </w:r>
            <w:r>
              <w:rPr>
                <w:color w:val="000000"/>
                <w:kern w:val="0"/>
                <w:sz w:val="21"/>
                <w:szCs w:val="21"/>
                <w:lang w:bidi="ar"/>
              </w:rPr>
              <w:t>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C13刑事执行</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对比</w:t>
            </w:r>
            <w:r>
              <w:rPr>
                <w:rStyle w:val="41"/>
                <w:lang w:bidi="ar"/>
              </w:rPr>
              <w:t>2021</w:t>
            </w:r>
            <w:r>
              <w:rPr>
                <w:color w:val="000000"/>
                <w:kern w:val="0"/>
                <w:sz w:val="21"/>
                <w:szCs w:val="21"/>
                <w:lang w:bidi="ar"/>
              </w:rPr>
              <w:t>年工作计划，考察柞水县司法局</w:t>
            </w:r>
            <w:r>
              <w:rPr>
                <w:rStyle w:val="41"/>
                <w:lang w:bidi="ar"/>
              </w:rPr>
              <w:t>2021</w:t>
            </w:r>
            <w:r>
              <w:rPr>
                <w:color w:val="000000"/>
                <w:kern w:val="0"/>
                <w:sz w:val="21"/>
                <w:szCs w:val="21"/>
                <w:lang w:bidi="ar"/>
              </w:rPr>
              <w:t>年在刑事执行工作上的完成情况。</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结合柞水县司法局</w:t>
            </w:r>
            <w:r>
              <w:rPr>
                <w:rStyle w:val="41"/>
                <w:lang w:bidi="ar"/>
              </w:rPr>
              <w:t>2021</w:t>
            </w:r>
            <w:r>
              <w:rPr>
                <w:color w:val="000000"/>
                <w:kern w:val="0"/>
                <w:sz w:val="21"/>
                <w:szCs w:val="21"/>
                <w:lang w:bidi="ar"/>
              </w:rPr>
              <w:t>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C14法律服务</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对比</w:t>
            </w:r>
            <w:r>
              <w:rPr>
                <w:rStyle w:val="41"/>
                <w:lang w:bidi="ar"/>
              </w:rPr>
              <w:t>2021</w:t>
            </w:r>
            <w:r>
              <w:rPr>
                <w:color w:val="000000"/>
                <w:kern w:val="0"/>
                <w:sz w:val="21"/>
                <w:szCs w:val="21"/>
                <w:lang w:bidi="ar"/>
              </w:rPr>
              <w:t>年工作计划，考察柞水县司法局</w:t>
            </w:r>
            <w:r>
              <w:rPr>
                <w:rStyle w:val="41"/>
                <w:lang w:bidi="ar"/>
              </w:rPr>
              <w:t>2021</w:t>
            </w:r>
            <w:r>
              <w:rPr>
                <w:color w:val="000000"/>
                <w:kern w:val="0"/>
                <w:sz w:val="21"/>
                <w:szCs w:val="21"/>
                <w:lang w:bidi="ar"/>
              </w:rPr>
              <w:t>年在法律服务工作上的完成情况。</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结合柞水县司法局</w:t>
            </w:r>
            <w:r>
              <w:rPr>
                <w:rStyle w:val="41"/>
                <w:lang w:bidi="ar"/>
              </w:rPr>
              <w:t>2021</w:t>
            </w:r>
            <w:r>
              <w:rPr>
                <w:color w:val="000000"/>
                <w:kern w:val="0"/>
                <w:sz w:val="21"/>
                <w:szCs w:val="21"/>
                <w:lang w:bidi="ar"/>
              </w:rPr>
              <w:t>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C15基层基础</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对比</w:t>
            </w:r>
            <w:r>
              <w:rPr>
                <w:rStyle w:val="41"/>
                <w:lang w:bidi="ar"/>
              </w:rPr>
              <w:t>2021</w:t>
            </w:r>
            <w:r>
              <w:rPr>
                <w:color w:val="000000"/>
                <w:kern w:val="0"/>
                <w:sz w:val="21"/>
                <w:szCs w:val="21"/>
                <w:lang w:bidi="ar"/>
              </w:rPr>
              <w:t>年工作计划，考察柞水县司法局</w:t>
            </w:r>
            <w:r>
              <w:rPr>
                <w:rStyle w:val="41"/>
                <w:lang w:bidi="ar"/>
              </w:rPr>
              <w:t>2021</w:t>
            </w:r>
            <w:r>
              <w:rPr>
                <w:color w:val="000000"/>
                <w:kern w:val="0"/>
                <w:sz w:val="21"/>
                <w:szCs w:val="21"/>
                <w:lang w:bidi="ar"/>
              </w:rPr>
              <w:t>年在基层基础工作上的完成情况。</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结合柞水县司法局</w:t>
            </w:r>
            <w:r>
              <w:rPr>
                <w:rStyle w:val="41"/>
                <w:lang w:bidi="ar"/>
              </w:rPr>
              <w:t>2021</w:t>
            </w:r>
            <w:r>
              <w:rPr>
                <w:color w:val="000000"/>
                <w:kern w:val="0"/>
                <w:sz w:val="21"/>
                <w:szCs w:val="21"/>
                <w:lang w:bidi="ar"/>
              </w:rPr>
              <w:t>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C2效益</w:t>
            </w:r>
          </w:p>
        </w:tc>
        <w:tc>
          <w:tcPr>
            <w:tcW w:w="758" w:type="dxa"/>
            <w:vMerge w:val="restart"/>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35</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C21</w:t>
            </w:r>
            <w:r>
              <w:rPr>
                <w:rFonts w:hint="eastAsia"/>
                <w:color w:val="000000"/>
                <w:kern w:val="0"/>
                <w:sz w:val="21"/>
                <w:szCs w:val="21"/>
                <w:lang w:bidi="ar"/>
              </w:rPr>
              <w:t>推动全面依法治县和司法行政</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12</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sz w:val="21"/>
                <w:szCs w:val="21"/>
              </w:rPr>
              <w:t>以</w:t>
            </w:r>
            <w:r>
              <w:rPr>
                <w:rFonts w:hint="eastAsia"/>
                <w:color w:val="000000"/>
                <w:sz w:val="21"/>
                <w:szCs w:val="21"/>
              </w:rPr>
              <w:t>柞水</w:t>
            </w:r>
            <w:r>
              <w:rPr>
                <w:color w:val="000000"/>
                <w:sz w:val="21"/>
                <w:szCs w:val="21"/>
              </w:rPr>
              <w:t>县委年度目标责任考核结果为依据，</w:t>
            </w:r>
            <w:r>
              <w:rPr>
                <w:rFonts w:hint="eastAsia"/>
                <w:color w:val="000000"/>
                <w:sz w:val="21"/>
                <w:szCs w:val="21"/>
              </w:rPr>
              <w:t>结合柞水县司法局2021年部门整体工作完成情况，考察其依法治县和推进司法行政的贡献程度。</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rFonts w:hint="eastAsia"/>
                <w:color w:val="000000"/>
                <w:kern w:val="0"/>
                <w:sz w:val="21"/>
                <w:szCs w:val="21"/>
                <w:lang w:bidi="ar"/>
              </w:rPr>
              <w:t>根据</w:t>
            </w:r>
            <w:r>
              <w:rPr>
                <w:rFonts w:hint="eastAsia"/>
                <w:color w:val="000000"/>
                <w:sz w:val="21"/>
                <w:szCs w:val="21"/>
              </w:rPr>
              <w:t>水</w:t>
            </w:r>
            <w:r>
              <w:rPr>
                <w:color w:val="000000"/>
                <w:sz w:val="21"/>
                <w:szCs w:val="21"/>
              </w:rPr>
              <w:t>县委年度目标责任考核结果</w:t>
            </w:r>
            <w:r>
              <w:rPr>
                <w:rFonts w:hint="eastAsia"/>
                <w:color w:val="000000"/>
                <w:sz w:val="21"/>
                <w:szCs w:val="21"/>
              </w:rPr>
              <w:t>，以及社会群众的反馈酌情打分</w:t>
            </w:r>
            <w:r>
              <w:rPr>
                <w:color w:val="000000"/>
                <w:kern w:val="0"/>
                <w:sz w:val="21"/>
                <w:szCs w:val="21"/>
                <w:lang w:bidi="ar"/>
              </w:rPr>
              <w:t>。</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C22社会公众满意度</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10</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考察社会公众对</w:t>
            </w:r>
            <w:r>
              <w:rPr>
                <w:rFonts w:hint="eastAsia"/>
                <w:color w:val="000000"/>
                <w:kern w:val="0"/>
                <w:sz w:val="21"/>
                <w:szCs w:val="21"/>
                <w:lang w:bidi="ar"/>
              </w:rPr>
              <w:t>柞水县司法局</w:t>
            </w:r>
            <w:r>
              <w:rPr>
                <w:color w:val="000000"/>
                <w:kern w:val="0"/>
                <w:sz w:val="21"/>
                <w:szCs w:val="21"/>
                <w:lang w:bidi="ar"/>
              </w:rPr>
              <w:t>工作人员</w:t>
            </w:r>
            <w:r>
              <w:rPr>
                <w:rFonts w:hint="eastAsia"/>
                <w:color w:val="000000"/>
                <w:kern w:val="0"/>
                <w:sz w:val="21"/>
                <w:szCs w:val="21"/>
                <w:lang w:bidi="ar"/>
              </w:rPr>
              <w:t>工作成果的</w:t>
            </w:r>
            <w:r>
              <w:rPr>
                <w:color w:val="000000"/>
                <w:kern w:val="0"/>
                <w:sz w:val="21"/>
                <w:szCs w:val="21"/>
                <w:lang w:bidi="ar"/>
              </w:rPr>
              <w:t>满意程度。</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目标值为</w:t>
            </w:r>
            <w:r>
              <w:rPr>
                <w:rStyle w:val="41"/>
                <w:lang w:bidi="ar"/>
              </w:rPr>
              <w:t>≥90%</w:t>
            </w:r>
            <w:r>
              <w:rPr>
                <w:color w:val="000000"/>
                <w:kern w:val="0"/>
                <w:sz w:val="21"/>
                <w:szCs w:val="21"/>
                <w:lang w:bidi="ar"/>
              </w:rPr>
              <w:t>，以</w:t>
            </w:r>
            <w:r>
              <w:rPr>
                <w:rStyle w:val="41"/>
                <w:rFonts w:hint="eastAsia"/>
                <w:lang w:bidi="ar"/>
              </w:rPr>
              <w:t>10</w:t>
            </w:r>
            <w:r>
              <w:rPr>
                <w:color w:val="000000"/>
                <w:kern w:val="0"/>
                <w:sz w:val="21"/>
                <w:szCs w:val="21"/>
                <w:lang w:bidi="ar"/>
              </w:rPr>
              <w:t>分为上限，</w:t>
            </w:r>
            <w:r>
              <w:rPr>
                <w:rFonts w:hint="eastAsia"/>
                <w:color w:val="000000"/>
                <w:kern w:val="0"/>
                <w:sz w:val="21"/>
                <w:szCs w:val="21"/>
                <w:lang w:bidi="ar"/>
              </w:rPr>
              <w:t>未</w:t>
            </w:r>
            <w:r>
              <w:rPr>
                <w:color w:val="000000"/>
                <w:kern w:val="0"/>
                <w:sz w:val="21"/>
                <w:szCs w:val="21"/>
                <w:lang w:bidi="ar"/>
              </w:rPr>
              <w:t>达到目标值的每</w:t>
            </w:r>
            <w:r>
              <w:rPr>
                <w:rFonts w:hint="eastAsia"/>
                <w:color w:val="000000"/>
                <w:kern w:val="0"/>
                <w:sz w:val="21"/>
                <w:szCs w:val="21"/>
                <w:lang w:bidi="ar"/>
              </w:rPr>
              <w:t>减少2</w:t>
            </w:r>
            <w:r>
              <w:rPr>
                <w:color w:val="000000"/>
                <w:kern w:val="0"/>
                <w:sz w:val="21"/>
                <w:szCs w:val="21"/>
                <w:lang w:bidi="ar"/>
              </w:rPr>
              <w:t>个百分点扣</w:t>
            </w:r>
            <w:r>
              <w:rPr>
                <w:rStyle w:val="41"/>
                <w:lang w:bidi="ar"/>
              </w:rPr>
              <w:t>0.1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98" w:type="dxa"/>
            <w:shd w:val="clear" w:color="auto" w:fill="auto"/>
            <w:noWrap/>
            <w:vAlign w:val="center"/>
          </w:tcPr>
          <w:p>
            <w:pPr>
              <w:widowControl/>
              <w:spacing w:line="240" w:lineRule="auto"/>
              <w:ind w:firstLine="0" w:firstLineChars="0"/>
              <w:jc w:val="left"/>
              <w:textAlignment w:val="center"/>
              <w:rPr>
                <w:b/>
                <w:bCs/>
                <w:color w:val="000000"/>
                <w:sz w:val="21"/>
                <w:szCs w:val="21"/>
              </w:rPr>
            </w:pPr>
            <w:r>
              <w:rPr>
                <w:b/>
                <w:bCs/>
                <w:color w:val="000000"/>
                <w:kern w:val="0"/>
                <w:sz w:val="21"/>
                <w:szCs w:val="21"/>
                <w:lang w:bidi="ar"/>
              </w:rPr>
              <w:t>总计</w:t>
            </w:r>
          </w:p>
        </w:tc>
        <w:tc>
          <w:tcPr>
            <w:tcW w:w="1132" w:type="dxa"/>
            <w:shd w:val="clear" w:color="auto" w:fill="auto"/>
            <w:noWrap/>
            <w:vAlign w:val="center"/>
          </w:tcPr>
          <w:p>
            <w:pPr>
              <w:widowControl/>
              <w:spacing w:line="240" w:lineRule="auto"/>
              <w:ind w:firstLine="0" w:firstLineChars="0"/>
              <w:jc w:val="left"/>
              <w:rPr>
                <w:b/>
                <w:bCs/>
                <w:color w:val="000000"/>
                <w:sz w:val="21"/>
                <w:szCs w:val="21"/>
              </w:rPr>
            </w:pPr>
          </w:p>
        </w:tc>
        <w:tc>
          <w:tcPr>
            <w:tcW w:w="758" w:type="dxa"/>
            <w:shd w:val="clear" w:color="auto" w:fill="auto"/>
            <w:noWrap/>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100</w:t>
            </w:r>
          </w:p>
        </w:tc>
        <w:tc>
          <w:tcPr>
            <w:tcW w:w="1484" w:type="dxa"/>
            <w:shd w:val="clear" w:color="auto" w:fill="auto"/>
            <w:noWrap/>
            <w:vAlign w:val="center"/>
          </w:tcPr>
          <w:p>
            <w:pPr>
              <w:widowControl/>
              <w:spacing w:line="240" w:lineRule="auto"/>
              <w:ind w:firstLine="0" w:firstLineChars="0"/>
              <w:jc w:val="left"/>
              <w:rPr>
                <w:b/>
                <w:bCs/>
                <w:color w:val="000000"/>
                <w:sz w:val="21"/>
                <w:szCs w:val="21"/>
              </w:rPr>
            </w:pPr>
          </w:p>
        </w:tc>
        <w:tc>
          <w:tcPr>
            <w:tcW w:w="810" w:type="dxa"/>
            <w:shd w:val="clear" w:color="auto" w:fill="auto"/>
            <w:noWrap/>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100</w:t>
            </w:r>
          </w:p>
        </w:tc>
        <w:tc>
          <w:tcPr>
            <w:tcW w:w="4657" w:type="dxa"/>
            <w:shd w:val="clear" w:color="auto" w:fill="auto"/>
            <w:vAlign w:val="center"/>
          </w:tcPr>
          <w:p>
            <w:pPr>
              <w:widowControl/>
              <w:spacing w:line="240" w:lineRule="auto"/>
              <w:ind w:firstLine="0" w:firstLineChars="0"/>
              <w:jc w:val="left"/>
              <w:rPr>
                <w:color w:val="000000"/>
                <w:sz w:val="21"/>
                <w:szCs w:val="21"/>
              </w:rPr>
            </w:pPr>
          </w:p>
        </w:tc>
        <w:tc>
          <w:tcPr>
            <w:tcW w:w="2539" w:type="dxa"/>
            <w:shd w:val="clear" w:color="auto" w:fill="auto"/>
            <w:vAlign w:val="center"/>
          </w:tcPr>
          <w:p>
            <w:pPr>
              <w:widowControl/>
              <w:spacing w:line="240" w:lineRule="auto"/>
              <w:ind w:firstLine="0" w:firstLineChars="0"/>
              <w:jc w:val="left"/>
              <w:rPr>
                <w:color w:val="000000"/>
                <w:sz w:val="21"/>
                <w:szCs w:val="21"/>
              </w:rPr>
            </w:pPr>
          </w:p>
        </w:tc>
        <w:tc>
          <w:tcPr>
            <w:tcW w:w="731" w:type="dxa"/>
            <w:shd w:val="clear" w:color="auto" w:fill="auto"/>
            <w:noWrap/>
            <w:vAlign w:val="center"/>
          </w:tcPr>
          <w:p>
            <w:pPr>
              <w:widowControl/>
              <w:spacing w:line="240" w:lineRule="auto"/>
              <w:ind w:firstLine="0" w:firstLineChars="0"/>
              <w:jc w:val="center"/>
              <w:rPr>
                <w:color w:val="000000"/>
                <w:sz w:val="21"/>
                <w:szCs w:val="21"/>
              </w:rPr>
            </w:pPr>
            <w:r>
              <w:rPr>
                <w:rFonts w:hint="eastAsia"/>
                <w:color w:val="000000"/>
                <w:sz w:val="21"/>
                <w:szCs w:val="21"/>
              </w:rPr>
              <w:t>94.27</w:t>
            </w:r>
          </w:p>
        </w:tc>
      </w:tr>
    </w:tbl>
    <w:p>
      <w:pPr>
        <w:pStyle w:val="18"/>
        <w:ind w:left="0" w:leftChars="0" w:firstLine="0" w:firstLineChars="0"/>
        <w:rPr>
          <w:rFonts w:hAnsi="Times New Roman"/>
        </w:rPr>
      </w:pPr>
    </w:p>
    <w:sectPr>
      <w:footerReference r:id="rId9" w:type="default"/>
      <w:pgSz w:w="16838" w:h="11906" w:orient="landscape"/>
      <w:pgMar w:top="1440" w:right="1797" w:bottom="1440" w:left="1797" w:header="851" w:footer="794" w:gutter="0"/>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2351719"/>
    </w:sdtPr>
    <w:sdtEndPr>
      <w:rPr>
        <w:rFonts w:ascii="Times New Roman" w:hAnsi="Times New Roman" w:cs="Times New Roman"/>
      </w:rPr>
    </w:sdtEndPr>
    <w:sdtContent>
      <w:p>
        <w:pPr>
          <w:pStyle w:val="11"/>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8997019"/>
    </w:sdtPr>
    <w:sdtEndPr>
      <w:rPr>
        <w:rFonts w:ascii="Times New Roman" w:hAnsi="Times New Roman" w:cs="Times New Roman"/>
      </w:rPr>
    </w:sdtEndPr>
    <w:sdtContent>
      <w:p>
        <w:pPr>
          <w:pStyle w:val="11"/>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sdtContent>
  </w:sdt>
  <w:p>
    <w:pPr>
      <w:pStyle w:val="11"/>
      <w:ind w:firstLine="0" w:firstLineChars="0"/>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rPr>
        <w:rFonts w:ascii="Times New Roman" w:hAnsi="Times New Roman" w:eastAsia="仿宋" w:cs="Times New Roman"/>
        <w:sz w:val="21"/>
        <w:szCs w:val="21"/>
      </w:rPr>
    </w:pPr>
    <w:bookmarkStart w:id="30" w:name="_Hlk90038609"/>
    <w:bookmarkStart w:id="31" w:name="_Hlk90038608"/>
    <w:r>
      <w:rPr>
        <w:rFonts w:hint="eastAsia" w:ascii="Times New Roman" w:hAnsi="Times New Roman" w:eastAsia="仿宋" w:cs="Times New Roman"/>
        <w:sz w:val="21"/>
        <w:szCs w:val="21"/>
      </w:rPr>
      <w:t>柞水县司法局</w:t>
    </w:r>
    <w:r>
      <w:rPr>
        <w:rFonts w:ascii="Times New Roman" w:hAnsi="Times New Roman" w:eastAsia="仿宋" w:cs="Times New Roman"/>
        <w:sz w:val="21"/>
        <w:szCs w:val="21"/>
      </w:rPr>
      <w:t>2021年</w:t>
    </w:r>
    <w:r>
      <w:rPr>
        <w:rFonts w:hint="eastAsia" w:ascii="Times New Roman" w:hAnsi="Times New Roman" w:eastAsia="仿宋" w:cs="Times New Roman"/>
        <w:sz w:val="21"/>
        <w:szCs w:val="21"/>
      </w:rPr>
      <w:t>部门</w:t>
    </w:r>
    <w:r>
      <w:rPr>
        <w:rFonts w:ascii="Times New Roman" w:hAnsi="Times New Roman" w:eastAsia="仿宋" w:cs="Times New Roman"/>
        <w:sz w:val="21"/>
        <w:szCs w:val="21"/>
      </w:rPr>
      <w:t>整体支出绩效评价报告</w:t>
    </w:r>
    <w:bookmarkEnd w:id="30"/>
    <w:bookmarkEnd w:id="3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柞水县司法局</w:t>
    </w:r>
    <w:r>
      <w:rPr>
        <w:rFonts w:ascii="Times New Roman" w:hAnsi="Times New Roman" w:eastAsia="仿宋" w:cs="Times New Roman"/>
        <w:sz w:val="21"/>
        <w:szCs w:val="21"/>
      </w:rPr>
      <w:t>2021年</w:t>
    </w:r>
    <w:r>
      <w:rPr>
        <w:rFonts w:hint="eastAsia" w:ascii="Times New Roman" w:hAnsi="Times New Roman" w:eastAsia="仿宋" w:cs="Times New Roman"/>
        <w:sz w:val="21"/>
        <w:szCs w:val="21"/>
      </w:rPr>
      <w:t>部门</w:t>
    </w:r>
    <w:r>
      <w:rPr>
        <w:rFonts w:ascii="Times New Roman" w:hAnsi="Times New Roman" w:eastAsia="仿宋" w:cs="Times New Roman"/>
        <w:sz w:val="21"/>
        <w:szCs w:val="21"/>
      </w:rPr>
      <w:t>整体支出绩效评价报告</w:t>
    </w:r>
  </w:p>
  <w:p>
    <w:pPr>
      <w:pStyle w:val="12"/>
      <w:pBdr>
        <w:bottom w:val="none" w:color="auto" w:sz="0" w:space="0"/>
      </w:pBdr>
      <w:ind w:firstLine="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TdiNWNlMWVlNjgzNjAzNzdlMzIyN2M3M2Y1MzIifQ=="/>
  </w:docVars>
  <w:rsids>
    <w:rsidRoot w:val="04240DF1"/>
    <w:rsid w:val="00016673"/>
    <w:rsid w:val="00021420"/>
    <w:rsid w:val="0002494B"/>
    <w:rsid w:val="000439B4"/>
    <w:rsid w:val="0006177D"/>
    <w:rsid w:val="000703A7"/>
    <w:rsid w:val="00070742"/>
    <w:rsid w:val="00074BBF"/>
    <w:rsid w:val="00074EB6"/>
    <w:rsid w:val="00086845"/>
    <w:rsid w:val="000B565C"/>
    <w:rsid w:val="000E3251"/>
    <w:rsid w:val="000E4F10"/>
    <w:rsid w:val="000E7CE9"/>
    <w:rsid w:val="000F06F9"/>
    <w:rsid w:val="000F1F57"/>
    <w:rsid w:val="00107662"/>
    <w:rsid w:val="00111071"/>
    <w:rsid w:val="001164A3"/>
    <w:rsid w:val="00125A0A"/>
    <w:rsid w:val="00143C94"/>
    <w:rsid w:val="00147B16"/>
    <w:rsid w:val="00151A16"/>
    <w:rsid w:val="0015228C"/>
    <w:rsid w:val="00155F0C"/>
    <w:rsid w:val="001A10DB"/>
    <w:rsid w:val="001A376B"/>
    <w:rsid w:val="001A6A7E"/>
    <w:rsid w:val="001B3DFD"/>
    <w:rsid w:val="001C0F77"/>
    <w:rsid w:val="001D286B"/>
    <w:rsid w:val="001D2C36"/>
    <w:rsid w:val="001E4AE5"/>
    <w:rsid w:val="001F48BA"/>
    <w:rsid w:val="00204900"/>
    <w:rsid w:val="00206B32"/>
    <w:rsid w:val="00221D05"/>
    <w:rsid w:val="00226896"/>
    <w:rsid w:val="00235E6A"/>
    <w:rsid w:val="00242524"/>
    <w:rsid w:val="00243085"/>
    <w:rsid w:val="0026185D"/>
    <w:rsid w:val="00282436"/>
    <w:rsid w:val="002914E9"/>
    <w:rsid w:val="002B0D59"/>
    <w:rsid w:val="002B3C9C"/>
    <w:rsid w:val="002C0BE9"/>
    <w:rsid w:val="002D19F0"/>
    <w:rsid w:val="002D3726"/>
    <w:rsid w:val="002D3E2B"/>
    <w:rsid w:val="002E2FF6"/>
    <w:rsid w:val="002F1254"/>
    <w:rsid w:val="00311A53"/>
    <w:rsid w:val="00315CA1"/>
    <w:rsid w:val="0032167E"/>
    <w:rsid w:val="003241FC"/>
    <w:rsid w:val="003373F2"/>
    <w:rsid w:val="003466C4"/>
    <w:rsid w:val="0035242A"/>
    <w:rsid w:val="0035750E"/>
    <w:rsid w:val="00375D73"/>
    <w:rsid w:val="003766DA"/>
    <w:rsid w:val="00390C30"/>
    <w:rsid w:val="003935D3"/>
    <w:rsid w:val="003A6130"/>
    <w:rsid w:val="003C2704"/>
    <w:rsid w:val="003C45E7"/>
    <w:rsid w:val="003C7B14"/>
    <w:rsid w:val="003E6E79"/>
    <w:rsid w:val="003F7B94"/>
    <w:rsid w:val="00412DF5"/>
    <w:rsid w:val="00413191"/>
    <w:rsid w:val="00414BBB"/>
    <w:rsid w:val="00445958"/>
    <w:rsid w:val="00452B1D"/>
    <w:rsid w:val="00464928"/>
    <w:rsid w:val="004668DF"/>
    <w:rsid w:val="00470007"/>
    <w:rsid w:val="00470844"/>
    <w:rsid w:val="0048256C"/>
    <w:rsid w:val="00491D46"/>
    <w:rsid w:val="004A1396"/>
    <w:rsid w:val="004A3ED7"/>
    <w:rsid w:val="004B50E7"/>
    <w:rsid w:val="004B7D62"/>
    <w:rsid w:val="004C0935"/>
    <w:rsid w:val="004E6E4F"/>
    <w:rsid w:val="004F4EBA"/>
    <w:rsid w:val="005079F2"/>
    <w:rsid w:val="00522CFC"/>
    <w:rsid w:val="00524350"/>
    <w:rsid w:val="0053454A"/>
    <w:rsid w:val="00545108"/>
    <w:rsid w:val="00554762"/>
    <w:rsid w:val="00555AA8"/>
    <w:rsid w:val="00565150"/>
    <w:rsid w:val="00565DFE"/>
    <w:rsid w:val="00576BEF"/>
    <w:rsid w:val="00586786"/>
    <w:rsid w:val="005910EE"/>
    <w:rsid w:val="00594F20"/>
    <w:rsid w:val="00596CB9"/>
    <w:rsid w:val="005A3556"/>
    <w:rsid w:val="005A52F0"/>
    <w:rsid w:val="005B2475"/>
    <w:rsid w:val="005C1F32"/>
    <w:rsid w:val="005D05D8"/>
    <w:rsid w:val="005D4712"/>
    <w:rsid w:val="005D5951"/>
    <w:rsid w:val="005E1943"/>
    <w:rsid w:val="005F098D"/>
    <w:rsid w:val="005F5F9B"/>
    <w:rsid w:val="0061432D"/>
    <w:rsid w:val="00620040"/>
    <w:rsid w:val="00635945"/>
    <w:rsid w:val="00643A07"/>
    <w:rsid w:val="00656069"/>
    <w:rsid w:val="00666604"/>
    <w:rsid w:val="0066749B"/>
    <w:rsid w:val="00686B98"/>
    <w:rsid w:val="00696174"/>
    <w:rsid w:val="006A1D41"/>
    <w:rsid w:val="006A5EC4"/>
    <w:rsid w:val="006A745E"/>
    <w:rsid w:val="006B1780"/>
    <w:rsid w:val="006B1A02"/>
    <w:rsid w:val="006C3A74"/>
    <w:rsid w:val="006C43E5"/>
    <w:rsid w:val="006C5883"/>
    <w:rsid w:val="006E5C48"/>
    <w:rsid w:val="006E7C90"/>
    <w:rsid w:val="006F09EB"/>
    <w:rsid w:val="00704C29"/>
    <w:rsid w:val="0070515B"/>
    <w:rsid w:val="00771ED4"/>
    <w:rsid w:val="007720A3"/>
    <w:rsid w:val="007A36F3"/>
    <w:rsid w:val="007B556C"/>
    <w:rsid w:val="007E316D"/>
    <w:rsid w:val="007E59F5"/>
    <w:rsid w:val="007F2F2E"/>
    <w:rsid w:val="00805563"/>
    <w:rsid w:val="00811E96"/>
    <w:rsid w:val="00831847"/>
    <w:rsid w:val="00846024"/>
    <w:rsid w:val="00852274"/>
    <w:rsid w:val="0086208D"/>
    <w:rsid w:val="008765DF"/>
    <w:rsid w:val="008870C8"/>
    <w:rsid w:val="008876CD"/>
    <w:rsid w:val="008913E6"/>
    <w:rsid w:val="008B6C64"/>
    <w:rsid w:val="008E1C5D"/>
    <w:rsid w:val="00916FEA"/>
    <w:rsid w:val="0092532B"/>
    <w:rsid w:val="00933ACB"/>
    <w:rsid w:val="0094648F"/>
    <w:rsid w:val="00946646"/>
    <w:rsid w:val="00966ABA"/>
    <w:rsid w:val="00967B98"/>
    <w:rsid w:val="00967CAC"/>
    <w:rsid w:val="0098256F"/>
    <w:rsid w:val="009B1641"/>
    <w:rsid w:val="009C3130"/>
    <w:rsid w:val="009C4623"/>
    <w:rsid w:val="009C4738"/>
    <w:rsid w:val="009C7B49"/>
    <w:rsid w:val="009C7CB9"/>
    <w:rsid w:val="009D093F"/>
    <w:rsid w:val="009D4CFC"/>
    <w:rsid w:val="009E4084"/>
    <w:rsid w:val="009F035E"/>
    <w:rsid w:val="009F2AA2"/>
    <w:rsid w:val="00A1097A"/>
    <w:rsid w:val="00A218F9"/>
    <w:rsid w:val="00A352E8"/>
    <w:rsid w:val="00A5370B"/>
    <w:rsid w:val="00A621F8"/>
    <w:rsid w:val="00A62CF4"/>
    <w:rsid w:val="00A7513B"/>
    <w:rsid w:val="00A752B9"/>
    <w:rsid w:val="00A867C3"/>
    <w:rsid w:val="00AA194C"/>
    <w:rsid w:val="00AC68B9"/>
    <w:rsid w:val="00AD3115"/>
    <w:rsid w:val="00AD69C3"/>
    <w:rsid w:val="00AE3B97"/>
    <w:rsid w:val="00B10069"/>
    <w:rsid w:val="00B26D64"/>
    <w:rsid w:val="00B40806"/>
    <w:rsid w:val="00B4634D"/>
    <w:rsid w:val="00B46825"/>
    <w:rsid w:val="00B46828"/>
    <w:rsid w:val="00B622BC"/>
    <w:rsid w:val="00B93A63"/>
    <w:rsid w:val="00B940DC"/>
    <w:rsid w:val="00B965EC"/>
    <w:rsid w:val="00BA2E64"/>
    <w:rsid w:val="00BA4744"/>
    <w:rsid w:val="00BA6E15"/>
    <w:rsid w:val="00BB7339"/>
    <w:rsid w:val="00BC7807"/>
    <w:rsid w:val="00BE00FC"/>
    <w:rsid w:val="00BF749B"/>
    <w:rsid w:val="00BF75FB"/>
    <w:rsid w:val="00C107C9"/>
    <w:rsid w:val="00C13DFF"/>
    <w:rsid w:val="00C46045"/>
    <w:rsid w:val="00C4650A"/>
    <w:rsid w:val="00C548F9"/>
    <w:rsid w:val="00C54CAE"/>
    <w:rsid w:val="00C7235F"/>
    <w:rsid w:val="00C72EBA"/>
    <w:rsid w:val="00C757CC"/>
    <w:rsid w:val="00C75CBA"/>
    <w:rsid w:val="00CA29EB"/>
    <w:rsid w:val="00CA7FBF"/>
    <w:rsid w:val="00CD229E"/>
    <w:rsid w:val="00CD794B"/>
    <w:rsid w:val="00CE4A2C"/>
    <w:rsid w:val="00CF58B4"/>
    <w:rsid w:val="00D07746"/>
    <w:rsid w:val="00D14691"/>
    <w:rsid w:val="00D611CC"/>
    <w:rsid w:val="00D844D0"/>
    <w:rsid w:val="00D866FA"/>
    <w:rsid w:val="00DB42A3"/>
    <w:rsid w:val="00DC4AE0"/>
    <w:rsid w:val="00DE091B"/>
    <w:rsid w:val="00E126F6"/>
    <w:rsid w:val="00E24E0F"/>
    <w:rsid w:val="00E43E98"/>
    <w:rsid w:val="00E5070D"/>
    <w:rsid w:val="00E513FB"/>
    <w:rsid w:val="00E52334"/>
    <w:rsid w:val="00E554A2"/>
    <w:rsid w:val="00E77243"/>
    <w:rsid w:val="00E85DDB"/>
    <w:rsid w:val="00E97B2D"/>
    <w:rsid w:val="00EA11F2"/>
    <w:rsid w:val="00EC66FB"/>
    <w:rsid w:val="00EE1713"/>
    <w:rsid w:val="00EF3004"/>
    <w:rsid w:val="00F05F85"/>
    <w:rsid w:val="00F15441"/>
    <w:rsid w:val="00F15F2F"/>
    <w:rsid w:val="00F17AB0"/>
    <w:rsid w:val="00F239E7"/>
    <w:rsid w:val="00F30E84"/>
    <w:rsid w:val="00F3564A"/>
    <w:rsid w:val="00F37C45"/>
    <w:rsid w:val="00F44EFF"/>
    <w:rsid w:val="00F53C46"/>
    <w:rsid w:val="00F77AA0"/>
    <w:rsid w:val="00F84DF9"/>
    <w:rsid w:val="00FA04FA"/>
    <w:rsid w:val="00FC7BDE"/>
    <w:rsid w:val="00FD4569"/>
    <w:rsid w:val="00FE341F"/>
    <w:rsid w:val="00FF0459"/>
    <w:rsid w:val="04240DF1"/>
    <w:rsid w:val="04855A09"/>
    <w:rsid w:val="08022C7C"/>
    <w:rsid w:val="088E19C1"/>
    <w:rsid w:val="08DD58F8"/>
    <w:rsid w:val="08F34859"/>
    <w:rsid w:val="09860817"/>
    <w:rsid w:val="0A686684"/>
    <w:rsid w:val="0D807B32"/>
    <w:rsid w:val="12241384"/>
    <w:rsid w:val="17DC7F15"/>
    <w:rsid w:val="2A8173EF"/>
    <w:rsid w:val="30DE626D"/>
    <w:rsid w:val="350470D4"/>
    <w:rsid w:val="3ADF16A0"/>
    <w:rsid w:val="3C8D6C40"/>
    <w:rsid w:val="3DDF3AE5"/>
    <w:rsid w:val="3F6B1A64"/>
    <w:rsid w:val="3FFC7F4A"/>
    <w:rsid w:val="4B470356"/>
    <w:rsid w:val="4CF925D8"/>
    <w:rsid w:val="53134467"/>
    <w:rsid w:val="5F385DE0"/>
    <w:rsid w:val="6B81410B"/>
    <w:rsid w:val="785D7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9" w:semiHidden="0" w:name="heading 2"/>
    <w:lsdException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spacing w:line="360" w:lineRule="auto"/>
      <w:ind w:firstLine="200" w:firstLineChars="200"/>
      <w:jc w:val="both"/>
    </w:pPr>
    <w:rPr>
      <w:rFonts w:ascii="Times New Roman" w:hAnsi="Times New Roman" w:eastAsia="仿宋" w:cs="Times New Roman"/>
      <w:kern w:val="2"/>
      <w:sz w:val="28"/>
      <w:szCs w:val="22"/>
      <w:lang w:val="en-US" w:eastAsia="zh-CN" w:bidi="ar-SA"/>
    </w:rPr>
  </w:style>
  <w:style w:type="paragraph" w:styleId="4">
    <w:name w:val="heading 1"/>
    <w:basedOn w:val="1"/>
    <w:next w:val="1"/>
    <w:qFormat/>
    <w:uiPriority w:val="9"/>
    <w:pPr>
      <w:keepNext/>
      <w:keepLines/>
      <w:outlineLvl w:val="0"/>
    </w:pPr>
    <w:rPr>
      <w:b/>
      <w:bCs/>
      <w:kern w:val="44"/>
      <w:sz w:val="32"/>
      <w:szCs w:val="44"/>
    </w:rPr>
  </w:style>
  <w:style w:type="paragraph" w:styleId="5">
    <w:name w:val="heading 2"/>
    <w:basedOn w:val="1"/>
    <w:next w:val="1"/>
    <w:qFormat/>
    <w:uiPriority w:val="9"/>
    <w:pPr>
      <w:keepNext/>
      <w:keepLines/>
      <w:outlineLvl w:val="1"/>
    </w:pPr>
    <w:rPr>
      <w:b/>
      <w:bCs/>
      <w:sz w:val="30"/>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3"/>
    <w:basedOn w:val="1"/>
    <w:next w:val="3"/>
    <w:unhideWhenUsed/>
    <w:qFormat/>
    <w:uiPriority w:val="99"/>
    <w:pPr>
      <w:spacing w:before="100" w:beforeAutospacing="1" w:after="120"/>
    </w:pPr>
    <w:rPr>
      <w:sz w:val="16"/>
      <w:szCs w:val="16"/>
    </w:rPr>
  </w:style>
  <w:style w:type="paragraph" w:customStyle="1" w:styleId="3">
    <w:name w:val="Char1"/>
    <w:basedOn w:val="1"/>
    <w:qFormat/>
    <w:uiPriority w:val="0"/>
    <w:pPr>
      <w:spacing w:before="100" w:beforeAutospacing="1" w:after="100" w:afterAutospacing="1"/>
      <w:ind w:left="840" w:hanging="420"/>
    </w:pPr>
    <w:rPr>
      <w:sz w:val="24"/>
      <w:szCs w:val="24"/>
    </w:rPr>
  </w:style>
  <w:style w:type="paragraph" w:styleId="6">
    <w:name w:val="caption"/>
    <w:basedOn w:val="1"/>
    <w:next w:val="1"/>
    <w:semiHidden/>
    <w:unhideWhenUsed/>
    <w:qFormat/>
    <w:uiPriority w:val="35"/>
    <w:rPr>
      <w:rFonts w:ascii="Arial" w:hAnsi="Arial" w:eastAsia="黑体"/>
      <w:sz w:val="20"/>
    </w:rPr>
  </w:style>
  <w:style w:type="paragraph" w:styleId="7">
    <w:name w:val="annotation text"/>
    <w:basedOn w:val="1"/>
    <w:link w:val="28"/>
    <w:unhideWhenUsed/>
    <w:qFormat/>
    <w:uiPriority w:val="0"/>
    <w:pPr>
      <w:jc w:val="left"/>
    </w:pPr>
  </w:style>
  <w:style w:type="paragraph" w:styleId="8">
    <w:name w:val="Body Text Indent"/>
    <w:basedOn w:val="1"/>
    <w:qFormat/>
    <w:uiPriority w:val="0"/>
    <w:pPr>
      <w:adjustRightInd w:val="0"/>
      <w:spacing w:line="240" w:lineRule="auto"/>
      <w:ind w:firstLine="560"/>
    </w:pPr>
    <w:rPr>
      <w:szCs w:val="30"/>
    </w:rPr>
  </w:style>
  <w:style w:type="paragraph" w:styleId="9">
    <w:name w:val="Date"/>
    <w:basedOn w:val="1"/>
    <w:next w:val="1"/>
    <w:link w:val="33"/>
    <w:qFormat/>
    <w:uiPriority w:val="0"/>
    <w:pPr>
      <w:ind w:left="100" w:leftChars="2500"/>
    </w:pPr>
  </w:style>
  <w:style w:type="paragraph" w:styleId="10">
    <w:name w:val="Balloon Text"/>
    <w:basedOn w:val="1"/>
    <w:link w:val="42"/>
    <w:autoRedefine/>
    <w:qFormat/>
    <w:uiPriority w:val="0"/>
    <w:pPr>
      <w:spacing w:line="240" w:lineRule="auto"/>
    </w:pPr>
    <w:rPr>
      <w:sz w:val="18"/>
      <w:szCs w:val="18"/>
    </w:rPr>
  </w:style>
  <w:style w:type="paragraph" w:styleId="11">
    <w:name w:val="footer"/>
    <w:basedOn w:val="1"/>
    <w:link w:val="3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3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unhideWhenUsed/>
    <w:qFormat/>
    <w:uiPriority w:val="39"/>
    <w:pPr>
      <w:tabs>
        <w:tab w:val="right" w:leader="dot" w:pos="8494"/>
      </w:tabs>
      <w:spacing w:line="240" w:lineRule="auto"/>
      <w:ind w:firstLine="0" w:firstLineChars="0"/>
    </w:pPr>
    <w:rPr>
      <w:rFonts w:ascii="黑体" w:hAnsi="黑体" w:eastAsia="黑体"/>
      <w:szCs w:val="28"/>
    </w:rPr>
  </w:style>
  <w:style w:type="paragraph" w:styleId="14">
    <w:name w:val="toc 2"/>
    <w:basedOn w:val="1"/>
    <w:next w:val="1"/>
    <w:unhideWhenUsed/>
    <w:qFormat/>
    <w:uiPriority w:val="39"/>
    <w:pPr>
      <w:tabs>
        <w:tab w:val="right" w:leader="dot" w:pos="8494"/>
      </w:tabs>
      <w:spacing w:line="240" w:lineRule="auto"/>
      <w:ind w:left="199" w:leftChars="71" w:firstLine="367" w:firstLineChars="153"/>
    </w:pPr>
    <w:rPr>
      <w:sz w:val="24"/>
    </w:rPr>
  </w:style>
  <w:style w:type="paragraph" w:styleId="15">
    <w:name w:val="Title"/>
    <w:basedOn w:val="16"/>
    <w:next w:val="1"/>
    <w:autoRedefine/>
    <w:qFormat/>
    <w:uiPriority w:val="0"/>
    <w:pPr>
      <w:ind w:firstLine="200" w:firstLineChars="200"/>
    </w:pPr>
    <w:rPr>
      <w:rFonts w:hAnsi="Times New Roman" w:eastAsia="仿宋"/>
      <w:b/>
      <w:bCs/>
      <w:sz w:val="30"/>
      <w:szCs w:val="32"/>
    </w:rPr>
  </w:style>
  <w:style w:type="paragraph" w:customStyle="1" w:styleId="16">
    <w:name w:val="标题2"/>
    <w:basedOn w:val="1"/>
    <w:autoRedefine/>
    <w:qFormat/>
    <w:uiPriority w:val="0"/>
    <w:pPr>
      <w:snapToGrid w:val="0"/>
      <w:ind w:firstLine="0" w:firstLineChars="0"/>
      <w:outlineLvl w:val="1"/>
    </w:pPr>
    <w:rPr>
      <w:rFonts w:hAnsi="宋体" w:eastAsia="黑体"/>
      <w:sz w:val="32"/>
      <w:szCs w:val="28"/>
      <w:lang w:eastAsia="en-US"/>
    </w:rPr>
  </w:style>
  <w:style w:type="paragraph" w:styleId="17">
    <w:name w:val="annotation subject"/>
    <w:basedOn w:val="7"/>
    <w:next w:val="7"/>
    <w:link w:val="29"/>
    <w:qFormat/>
    <w:uiPriority w:val="0"/>
    <w:rPr>
      <w:b/>
      <w:bCs/>
    </w:rPr>
  </w:style>
  <w:style w:type="paragraph" w:styleId="18">
    <w:name w:val="Body Text First Indent 2"/>
    <w:basedOn w:val="8"/>
    <w:autoRedefine/>
    <w:qFormat/>
    <w:uiPriority w:val="0"/>
    <w:pPr>
      <w:ind w:left="200" w:leftChars="200" w:firstLine="420"/>
    </w:pPr>
    <w:rPr>
      <w:rFonts w:hAnsi="Calibri" w:eastAsia="宋体"/>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qFormat/>
    <w:uiPriority w:val="0"/>
    <w:rPr>
      <w:sz w:val="21"/>
      <w:szCs w:val="21"/>
    </w:rPr>
  </w:style>
  <w:style w:type="paragraph" w:customStyle="1" w:styleId="24">
    <w:name w:val="TOC 标题1"/>
    <w:basedOn w:val="4"/>
    <w:next w:val="1"/>
    <w:autoRedefine/>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Cs w:val="32"/>
    </w:rPr>
  </w:style>
  <w:style w:type="paragraph" w:customStyle="1" w:styleId="25">
    <w:name w:val="报告正文"/>
    <w:basedOn w:val="1"/>
    <w:next w:val="1"/>
    <w:link w:val="37"/>
    <w:autoRedefine/>
    <w:qFormat/>
    <w:uiPriority w:val="0"/>
    <w:rPr>
      <w:kern w:val="0"/>
      <w:szCs w:val="28"/>
    </w:rPr>
  </w:style>
  <w:style w:type="character" w:customStyle="1" w:styleId="26">
    <w:name w:val="font51"/>
    <w:basedOn w:val="21"/>
    <w:qFormat/>
    <w:uiPriority w:val="0"/>
    <w:rPr>
      <w:rFonts w:hint="default" w:ascii="Times New Roman" w:hAnsi="Times New Roman" w:cs="Times New Roman"/>
      <w:color w:val="333333"/>
      <w:sz w:val="21"/>
      <w:szCs w:val="21"/>
      <w:u w:val="none"/>
    </w:rPr>
  </w:style>
  <w:style w:type="character" w:customStyle="1" w:styleId="27">
    <w:name w:val="font41"/>
    <w:basedOn w:val="21"/>
    <w:qFormat/>
    <w:uiPriority w:val="0"/>
    <w:rPr>
      <w:rFonts w:hint="eastAsia" w:ascii="仿宋" w:hAnsi="仿宋" w:eastAsia="仿宋" w:cs="仿宋"/>
      <w:color w:val="333333"/>
      <w:sz w:val="21"/>
      <w:szCs w:val="21"/>
      <w:u w:val="none"/>
    </w:rPr>
  </w:style>
  <w:style w:type="character" w:customStyle="1" w:styleId="28">
    <w:name w:val="批注文字 Char"/>
    <w:basedOn w:val="21"/>
    <w:link w:val="7"/>
    <w:qFormat/>
    <w:uiPriority w:val="0"/>
    <w:rPr>
      <w:rFonts w:eastAsia="仿宋"/>
      <w:kern w:val="2"/>
      <w:sz w:val="28"/>
      <w:szCs w:val="22"/>
    </w:rPr>
  </w:style>
  <w:style w:type="character" w:customStyle="1" w:styleId="29">
    <w:name w:val="批注主题 Char"/>
    <w:basedOn w:val="28"/>
    <w:link w:val="17"/>
    <w:qFormat/>
    <w:uiPriority w:val="0"/>
    <w:rPr>
      <w:rFonts w:eastAsia="仿宋"/>
      <w:b/>
      <w:bCs/>
      <w:kern w:val="2"/>
      <w:sz w:val="28"/>
      <w:szCs w:val="22"/>
    </w:rPr>
  </w:style>
  <w:style w:type="character" w:customStyle="1" w:styleId="30">
    <w:name w:val="页脚 Char"/>
    <w:basedOn w:val="21"/>
    <w:link w:val="11"/>
    <w:qFormat/>
    <w:uiPriority w:val="99"/>
    <w:rPr>
      <w:rFonts w:asciiTheme="minorHAnsi" w:hAnsiTheme="minorHAnsi" w:eastAsiaTheme="minorEastAsia" w:cstheme="minorBidi"/>
      <w:kern w:val="2"/>
      <w:sz w:val="18"/>
      <w:szCs w:val="18"/>
    </w:rPr>
  </w:style>
  <w:style w:type="paragraph" w:styleId="31">
    <w:name w:val="List Paragraph"/>
    <w:basedOn w:val="1"/>
    <w:qFormat/>
    <w:uiPriority w:val="99"/>
    <w:pPr>
      <w:ind w:firstLine="420"/>
    </w:pPr>
  </w:style>
  <w:style w:type="table" w:customStyle="1" w:styleId="32">
    <w:name w:val="网格型1"/>
    <w:basedOn w:val="1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
    <w:name w:val="日期 Char"/>
    <w:basedOn w:val="21"/>
    <w:link w:val="9"/>
    <w:qFormat/>
    <w:uiPriority w:val="0"/>
    <w:rPr>
      <w:rFonts w:eastAsia="仿宋"/>
      <w:kern w:val="2"/>
      <w:sz w:val="28"/>
      <w:szCs w:val="22"/>
    </w:rPr>
  </w:style>
  <w:style w:type="character" w:customStyle="1" w:styleId="34">
    <w:name w:val="页眉 Char"/>
    <w:basedOn w:val="21"/>
    <w:link w:val="12"/>
    <w:qFormat/>
    <w:uiPriority w:val="99"/>
    <w:rPr>
      <w:rFonts w:asciiTheme="minorHAnsi" w:hAnsiTheme="minorHAnsi" w:eastAsiaTheme="minorEastAsia" w:cstheme="minorBidi"/>
      <w:kern w:val="2"/>
      <w:sz w:val="18"/>
      <w:szCs w:val="18"/>
    </w:rPr>
  </w:style>
  <w:style w:type="paragraph" w:customStyle="1" w:styleId="35">
    <w:name w:val="报告1级标题"/>
    <w:basedOn w:val="4"/>
    <w:link w:val="36"/>
    <w:qFormat/>
    <w:uiPriority w:val="0"/>
    <w:pPr>
      <w:adjustRightInd w:val="0"/>
      <w:snapToGrid w:val="0"/>
      <w:jc w:val="left"/>
    </w:pPr>
    <w:rPr>
      <w:szCs w:val="28"/>
    </w:rPr>
  </w:style>
  <w:style w:type="character" w:customStyle="1" w:styleId="36">
    <w:name w:val="报告1级标题 字符"/>
    <w:basedOn w:val="21"/>
    <w:link w:val="35"/>
    <w:autoRedefine/>
    <w:qFormat/>
    <w:uiPriority w:val="0"/>
    <w:rPr>
      <w:rFonts w:eastAsia="仿宋"/>
      <w:b/>
      <w:bCs/>
      <w:kern w:val="44"/>
      <w:sz w:val="32"/>
      <w:szCs w:val="28"/>
    </w:rPr>
  </w:style>
  <w:style w:type="character" w:customStyle="1" w:styleId="37">
    <w:name w:val="报告正文 字符"/>
    <w:basedOn w:val="21"/>
    <w:link w:val="25"/>
    <w:qFormat/>
    <w:uiPriority w:val="0"/>
    <w:rPr>
      <w:rFonts w:eastAsia="仿宋"/>
      <w:sz w:val="28"/>
      <w:szCs w:val="28"/>
    </w:rPr>
  </w:style>
  <w:style w:type="character" w:customStyle="1" w:styleId="38">
    <w:name w:val="NormalCharacter"/>
    <w:link w:val="39"/>
    <w:semiHidden/>
    <w:qFormat/>
    <w:uiPriority w:val="0"/>
  </w:style>
  <w:style w:type="paragraph" w:customStyle="1" w:styleId="39">
    <w:name w:val="UserStyle_0"/>
    <w:basedOn w:val="40"/>
    <w:link w:val="38"/>
    <w:qFormat/>
    <w:uiPriority w:val="0"/>
    <w:pPr>
      <w:spacing w:line="436" w:lineRule="exact"/>
      <w:ind w:left="357"/>
      <w:jc w:val="left"/>
      <w:textAlignment w:val="auto"/>
    </w:pPr>
  </w:style>
  <w:style w:type="paragraph" w:customStyle="1" w:styleId="40">
    <w:name w:val="NavPane"/>
    <w:basedOn w:val="1"/>
    <w:qFormat/>
    <w:uiPriority w:val="0"/>
    <w:pPr>
      <w:shd w:val="clear" w:color="auto" w:fill="000080"/>
      <w:spacing w:line="365" w:lineRule="atLeast"/>
      <w:ind w:left="1"/>
      <w:textAlignment w:val="bottom"/>
    </w:pPr>
  </w:style>
  <w:style w:type="character" w:customStyle="1" w:styleId="41">
    <w:name w:val="font31"/>
    <w:basedOn w:val="21"/>
    <w:qFormat/>
    <w:uiPriority w:val="0"/>
    <w:rPr>
      <w:rFonts w:hint="default" w:ascii="Times New Roman" w:hAnsi="Times New Roman" w:cs="Times New Roman"/>
      <w:color w:val="000000"/>
      <w:sz w:val="21"/>
      <w:szCs w:val="21"/>
      <w:u w:val="none"/>
    </w:rPr>
  </w:style>
  <w:style w:type="character" w:customStyle="1" w:styleId="42">
    <w:name w:val="批注框文本 Char"/>
    <w:basedOn w:val="21"/>
    <w:link w:val="10"/>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1124D-823D-442B-914F-49974FAE3286}">
  <ds:schemaRefs/>
</ds:datastoreItem>
</file>

<file path=docProps/app.xml><?xml version="1.0" encoding="utf-8"?>
<Properties xmlns="http://schemas.openxmlformats.org/officeDocument/2006/extended-properties" xmlns:vt="http://schemas.openxmlformats.org/officeDocument/2006/docPropsVTypes">
  <Template>Normal</Template>
  <Pages>28</Pages>
  <Words>14148</Words>
  <Characters>15522</Characters>
  <Lines>124</Lines>
  <Paragraphs>35</Paragraphs>
  <TotalTime>50</TotalTime>
  <ScaleCrop>false</ScaleCrop>
  <LinksUpToDate>false</LinksUpToDate>
  <CharactersWithSpaces>15548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2021-12-08T06:25:00Z</dcterms:created>
  <dc:creator>馍馍</dc:creator>
  <cp:lastModifiedBy>Administrator</cp:lastModifiedBy>
  <cp:lastPrinted>2022-12-27T01:42:00Z</cp:lastPrinted>
  <dcterms:modified xsi:type="dcterms:W3CDTF">2023-12-18T06:51:44Z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387679D10A3248408749548E797794CB</vt:lpwstr>
  </property>
</Properties>
</file>